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Style w:val="af5"/>
        <w:tblW w:w="1077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026"/>
        <w:gridCol w:w="5953"/>
        <w:gridCol w:w="1559"/>
      </w:tblGrid>
      <w:tr w:rsidR="00F70570" w:rsidRPr="00953753" w:rsidTr="0040597A">
        <w:tc>
          <w:tcPr>
            <w:tcW w:w="2235" w:type="dxa"/>
            <w:tcBorders>
              <w:bottom w:val="single" w:sz="4" w:space="0" w:color="auto"/>
            </w:tcBorders>
          </w:tcPr>
          <w:p w:rsidR="00F70570" w:rsidRPr="00953753" w:rsidRDefault="00F70570" w:rsidP="0040597A"/>
        </w:tc>
        <w:tc>
          <w:tcPr>
            <w:tcW w:w="1026" w:type="dxa"/>
            <w:tcBorders>
              <w:bottom w:val="single" w:sz="4" w:space="0" w:color="auto"/>
            </w:tcBorders>
          </w:tcPr>
          <w:p w:rsidR="00F70570" w:rsidRPr="00953753" w:rsidRDefault="00F70570" w:rsidP="0040597A"/>
        </w:tc>
        <w:tc>
          <w:tcPr>
            <w:tcW w:w="5953" w:type="dxa"/>
          </w:tcPr>
          <w:p w:rsidR="00F70570" w:rsidRPr="00953753" w:rsidRDefault="00F70570" w:rsidP="0040597A">
            <w:pPr>
              <w:jc w:val="center"/>
            </w:pPr>
            <w:r w:rsidRPr="00953753">
              <w:rPr>
                <w:b/>
                <w:bCs/>
                <w:sz w:val="20"/>
                <w:szCs w:val="20"/>
              </w:rPr>
              <w:t>ТОВАРИСТВО  З ОБМЕЖЕНОЮ ВІДПОВІДАЛЬНІСТЮ</w:t>
            </w:r>
          </w:p>
        </w:tc>
        <w:tc>
          <w:tcPr>
            <w:tcW w:w="1559" w:type="dxa"/>
            <w:tcBorders>
              <w:bottom w:val="single" w:sz="4" w:space="0" w:color="auto"/>
            </w:tcBorders>
          </w:tcPr>
          <w:p w:rsidR="00F70570" w:rsidRPr="00953753" w:rsidRDefault="00F70570" w:rsidP="0040597A"/>
        </w:tc>
      </w:tr>
      <w:tr w:rsidR="00F70570" w:rsidRPr="00953753" w:rsidTr="0040597A">
        <w:trPr>
          <w:trHeight w:val="1287"/>
        </w:trPr>
        <w:tc>
          <w:tcPr>
            <w:tcW w:w="2235" w:type="dxa"/>
            <w:tcBorders>
              <w:top w:val="single" w:sz="4" w:space="0" w:color="auto"/>
              <w:bottom w:val="single" w:sz="4" w:space="0" w:color="auto"/>
            </w:tcBorders>
            <w:vAlign w:val="center"/>
          </w:tcPr>
          <w:p w:rsidR="00F70570" w:rsidRPr="00953753" w:rsidRDefault="00F70570" w:rsidP="0040597A">
            <w:pPr>
              <w:jc w:val="center"/>
            </w:pPr>
            <w:r w:rsidRPr="00953753">
              <w:rPr>
                <w:snapToGrid w:val="0"/>
                <w:sz w:val="20"/>
                <w:szCs w:val="20"/>
                <w:lang w:val="ru-RU"/>
              </w:rPr>
              <w:object w:dxaOrig="1341" w:dyaOrig="1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6.25pt" o:ole="" fillcolor="window">
                  <v:imagedata r:id="rId8" o:title="" gain="546133f" blacklevel="-19660f"/>
                </v:shape>
                <o:OLEObject Type="Embed" ProgID="Word.Picture.8" ShapeID="_x0000_i1025" DrawAspect="Content" ObjectID="_1522851199" r:id="rId9"/>
              </w:object>
            </w:r>
          </w:p>
        </w:tc>
        <w:tc>
          <w:tcPr>
            <w:tcW w:w="1026" w:type="dxa"/>
            <w:tcBorders>
              <w:top w:val="single" w:sz="4" w:space="0" w:color="auto"/>
              <w:bottom w:val="single" w:sz="4" w:space="0" w:color="auto"/>
            </w:tcBorders>
            <w:vAlign w:val="center"/>
          </w:tcPr>
          <w:p w:rsidR="00F70570" w:rsidRPr="00953753" w:rsidRDefault="00F70570" w:rsidP="0040597A">
            <w:pPr>
              <w:jc w:val="center"/>
            </w:pPr>
          </w:p>
        </w:tc>
        <w:tc>
          <w:tcPr>
            <w:tcW w:w="5953" w:type="dxa"/>
            <w:tcBorders>
              <w:bottom w:val="single" w:sz="4" w:space="0" w:color="auto"/>
            </w:tcBorders>
            <w:vAlign w:val="center"/>
          </w:tcPr>
          <w:p w:rsidR="00F70570" w:rsidRPr="00953753" w:rsidRDefault="00F70570" w:rsidP="0040597A">
            <w:pPr>
              <w:jc w:val="center"/>
              <w:rPr>
                <w:b/>
                <w:i/>
                <w:sz w:val="64"/>
                <w:szCs w:val="64"/>
              </w:rPr>
            </w:pPr>
            <w:r w:rsidRPr="00953753">
              <w:rPr>
                <w:b/>
                <w:i/>
                <w:sz w:val="64"/>
                <w:szCs w:val="64"/>
              </w:rPr>
              <w:t>Аудит-Сервіс ІНК</w:t>
            </w:r>
          </w:p>
        </w:tc>
        <w:tc>
          <w:tcPr>
            <w:tcW w:w="1559" w:type="dxa"/>
            <w:tcBorders>
              <w:top w:val="single" w:sz="4" w:space="0" w:color="auto"/>
              <w:bottom w:val="single" w:sz="4" w:space="0" w:color="auto"/>
            </w:tcBorders>
            <w:vAlign w:val="center"/>
          </w:tcPr>
          <w:p w:rsidR="00F70570" w:rsidRPr="00953753" w:rsidRDefault="00F70570" w:rsidP="0040597A">
            <w:pPr>
              <w:jc w:val="center"/>
            </w:pPr>
          </w:p>
        </w:tc>
      </w:tr>
      <w:tr w:rsidR="00F70570" w:rsidRPr="00953753" w:rsidTr="0040597A">
        <w:tc>
          <w:tcPr>
            <w:tcW w:w="10773" w:type="dxa"/>
            <w:gridSpan w:val="4"/>
            <w:tcBorders>
              <w:top w:val="single" w:sz="4" w:space="0" w:color="auto"/>
            </w:tcBorders>
          </w:tcPr>
          <w:p w:rsidR="00F70570" w:rsidRPr="00953753" w:rsidRDefault="00F70570" w:rsidP="0040597A">
            <w:pPr>
              <w:jc w:val="center"/>
            </w:pPr>
            <w:r w:rsidRPr="00480F3A">
              <w:rPr>
                <w:sz w:val="20"/>
                <w:szCs w:val="20"/>
              </w:rPr>
              <w:t xml:space="preserve">Свідоцтво про внесення в Реєстр </w:t>
            </w:r>
            <w:r>
              <w:rPr>
                <w:sz w:val="20"/>
                <w:szCs w:val="20"/>
              </w:rPr>
              <w:t>аудиторських фірм та аудиторів</w:t>
            </w:r>
            <w:r w:rsidRPr="00480F3A">
              <w:rPr>
                <w:sz w:val="20"/>
                <w:szCs w:val="20"/>
              </w:rPr>
              <w:t xml:space="preserve"> № 0036, продовжене рішенням Аудиторської палати України від </w:t>
            </w:r>
            <w:r>
              <w:rPr>
                <w:sz w:val="20"/>
                <w:szCs w:val="20"/>
              </w:rPr>
              <w:t>24</w:t>
            </w:r>
            <w:r w:rsidRPr="00480F3A">
              <w:rPr>
                <w:sz w:val="20"/>
                <w:szCs w:val="20"/>
              </w:rPr>
              <w:t xml:space="preserve"> </w:t>
            </w:r>
            <w:r>
              <w:rPr>
                <w:sz w:val="20"/>
                <w:szCs w:val="20"/>
              </w:rPr>
              <w:t>вересня</w:t>
            </w:r>
            <w:r w:rsidRPr="00480F3A">
              <w:rPr>
                <w:sz w:val="20"/>
                <w:szCs w:val="20"/>
              </w:rPr>
              <w:t xml:space="preserve"> 20</w:t>
            </w:r>
            <w:r>
              <w:rPr>
                <w:sz w:val="20"/>
                <w:szCs w:val="20"/>
              </w:rPr>
              <w:t>15</w:t>
            </w:r>
            <w:r w:rsidRPr="00480F3A">
              <w:rPr>
                <w:sz w:val="20"/>
                <w:szCs w:val="20"/>
              </w:rPr>
              <w:t xml:space="preserve"> року № </w:t>
            </w:r>
            <w:r>
              <w:rPr>
                <w:sz w:val="20"/>
                <w:szCs w:val="20"/>
              </w:rPr>
              <w:t>315/3, чинне до 24.09.2020р.</w:t>
            </w:r>
          </w:p>
        </w:tc>
      </w:tr>
    </w:tbl>
    <w:p w:rsidR="00CA3C31" w:rsidRPr="00F70570" w:rsidRDefault="00CA3C31" w:rsidP="00F70570">
      <w:pPr>
        <w:rPr>
          <w:sz w:val="22"/>
          <w:szCs w:val="22"/>
          <w:lang w:val="ru-RU"/>
        </w:rPr>
      </w:pPr>
    </w:p>
    <w:p w:rsidR="00EF0DD1" w:rsidRPr="00EF0DD1" w:rsidRDefault="00EF0DD1" w:rsidP="00EF0DD1">
      <w:pPr>
        <w:numPr>
          <w:ilvl w:val="4"/>
          <w:numId w:val="6"/>
        </w:numPr>
        <w:jc w:val="center"/>
        <w:rPr>
          <w:b/>
          <w:i/>
          <w:sz w:val="22"/>
          <w:szCs w:val="22"/>
        </w:rPr>
      </w:pPr>
      <w:r w:rsidRPr="00EF0DD1">
        <w:rPr>
          <w:b/>
          <w:i/>
          <w:sz w:val="22"/>
          <w:szCs w:val="22"/>
        </w:rPr>
        <w:t>АУДИТОРСЬКИЙ ВИСНОВОК</w:t>
      </w:r>
    </w:p>
    <w:p w:rsidR="009170A5" w:rsidRPr="009170A5" w:rsidRDefault="00EF0DD1" w:rsidP="009170A5">
      <w:pPr>
        <w:jc w:val="center"/>
        <w:rPr>
          <w:b/>
          <w:bCs/>
          <w:i/>
          <w:iCs/>
          <w:sz w:val="22"/>
          <w:szCs w:val="22"/>
          <w:lang w:val="ru-RU"/>
        </w:rPr>
      </w:pPr>
      <w:r w:rsidRPr="00EF0DD1">
        <w:rPr>
          <w:b/>
          <w:bCs/>
          <w:i/>
          <w:iCs/>
          <w:sz w:val="22"/>
          <w:szCs w:val="22"/>
        </w:rPr>
        <w:t>(ЗВІТ НЕЗАЛЕЖНОГО АУДИТОРА</w:t>
      </w:r>
      <w:r>
        <w:rPr>
          <w:b/>
          <w:bCs/>
          <w:i/>
          <w:iCs/>
          <w:sz w:val="22"/>
          <w:szCs w:val="22"/>
          <w:lang w:val="en-US"/>
        </w:rPr>
        <w:t>)</w:t>
      </w:r>
    </w:p>
    <w:p w:rsidR="00791D4E" w:rsidRDefault="00791D4E" w:rsidP="00F91E3F">
      <w:pPr>
        <w:jc w:val="center"/>
        <w:rPr>
          <w:b/>
          <w:i/>
          <w:sz w:val="22"/>
          <w:szCs w:val="22"/>
          <w:lang w:val="ru-RU"/>
        </w:rPr>
      </w:pPr>
      <w:r w:rsidRPr="00C1009A">
        <w:rPr>
          <w:b/>
          <w:i/>
          <w:sz w:val="22"/>
          <w:szCs w:val="22"/>
        </w:rPr>
        <w:t xml:space="preserve">щодо фінансової звітності </w:t>
      </w:r>
    </w:p>
    <w:p w:rsidR="009170A5" w:rsidRPr="009170A5" w:rsidRDefault="009170A5" w:rsidP="00F91E3F">
      <w:pPr>
        <w:jc w:val="center"/>
        <w:rPr>
          <w:b/>
          <w:i/>
          <w:szCs w:val="24"/>
          <w:lang w:val="ru-RU"/>
        </w:rPr>
      </w:pPr>
      <w:proofErr w:type="spellStart"/>
      <w:r w:rsidRPr="009170A5">
        <w:rPr>
          <w:b/>
          <w:bCs/>
          <w:szCs w:val="24"/>
        </w:rPr>
        <w:t>повн</w:t>
      </w:r>
      <w:proofErr w:type="spellEnd"/>
      <w:r w:rsidRPr="009170A5">
        <w:rPr>
          <w:b/>
          <w:bCs/>
          <w:szCs w:val="24"/>
          <w:lang w:val="ru-RU"/>
        </w:rPr>
        <w:t>ого</w:t>
      </w:r>
      <w:r w:rsidRPr="009170A5">
        <w:rPr>
          <w:b/>
          <w:bCs/>
          <w:szCs w:val="24"/>
        </w:rPr>
        <w:t xml:space="preserve"> товариств</w:t>
      </w:r>
      <w:r w:rsidRPr="009170A5">
        <w:rPr>
          <w:b/>
          <w:bCs/>
          <w:szCs w:val="24"/>
          <w:lang w:val="ru-RU"/>
        </w:rPr>
        <w:t>а</w:t>
      </w:r>
      <w:r w:rsidRPr="009170A5">
        <w:rPr>
          <w:b/>
          <w:bCs/>
          <w:szCs w:val="24"/>
        </w:rPr>
        <w:t xml:space="preserve"> « Ломбард « </w:t>
      </w:r>
      <w:proofErr w:type="spellStart"/>
      <w:r w:rsidRPr="009170A5">
        <w:rPr>
          <w:b/>
          <w:bCs/>
          <w:szCs w:val="24"/>
          <w:lang w:val="ru-RU"/>
        </w:rPr>
        <w:t>Шелегон</w:t>
      </w:r>
      <w:proofErr w:type="spellEnd"/>
      <w:r w:rsidRPr="009170A5">
        <w:rPr>
          <w:b/>
          <w:bCs/>
          <w:szCs w:val="24"/>
          <w:lang w:val="ru-RU"/>
        </w:rPr>
        <w:t xml:space="preserve"> </w:t>
      </w:r>
      <w:r w:rsidRPr="009170A5">
        <w:rPr>
          <w:b/>
          <w:szCs w:val="24"/>
        </w:rPr>
        <w:t xml:space="preserve"> і компанія »</w:t>
      </w:r>
    </w:p>
    <w:p w:rsidR="00791D4E" w:rsidRPr="009170A5" w:rsidRDefault="00F91E3F" w:rsidP="00534943">
      <w:pPr>
        <w:jc w:val="center"/>
        <w:rPr>
          <w:b/>
          <w:i/>
          <w:iCs/>
          <w:color w:val="000000"/>
          <w:szCs w:val="24"/>
        </w:rPr>
      </w:pPr>
      <w:r w:rsidRPr="009170A5">
        <w:rPr>
          <w:b/>
          <w:i/>
          <w:iCs/>
          <w:color w:val="000000"/>
          <w:szCs w:val="24"/>
        </w:rPr>
        <w:t>за</w:t>
      </w:r>
      <w:r w:rsidR="00791D4E" w:rsidRPr="009170A5">
        <w:rPr>
          <w:b/>
          <w:i/>
          <w:iCs/>
          <w:color w:val="000000"/>
          <w:szCs w:val="24"/>
        </w:rPr>
        <w:t xml:space="preserve"> 201</w:t>
      </w:r>
      <w:r w:rsidR="003C1971">
        <w:rPr>
          <w:b/>
          <w:i/>
          <w:iCs/>
          <w:color w:val="000000"/>
          <w:szCs w:val="24"/>
          <w:lang w:val="ru-RU"/>
        </w:rPr>
        <w:t>5</w:t>
      </w:r>
      <w:r w:rsidR="00791D4E" w:rsidRPr="009170A5">
        <w:rPr>
          <w:b/>
          <w:i/>
          <w:iCs/>
          <w:color w:val="000000"/>
          <w:szCs w:val="24"/>
        </w:rPr>
        <w:t xml:space="preserve"> р</w:t>
      </w:r>
      <w:r w:rsidRPr="009170A5">
        <w:rPr>
          <w:b/>
          <w:i/>
          <w:iCs/>
          <w:color w:val="000000"/>
          <w:szCs w:val="24"/>
        </w:rPr>
        <w:t>ік</w:t>
      </w:r>
    </w:p>
    <w:p w:rsidR="00791D4E" w:rsidRPr="00DE398A" w:rsidRDefault="00791D4E" w:rsidP="00791D4E">
      <w:pPr>
        <w:jc w:val="center"/>
        <w:rPr>
          <w:b/>
          <w:i/>
          <w:iCs/>
          <w:color w:val="000000"/>
          <w:sz w:val="22"/>
          <w:szCs w:val="22"/>
        </w:rPr>
      </w:pPr>
    </w:p>
    <w:p w:rsidR="009170A5" w:rsidRPr="009170A5" w:rsidRDefault="00791D4E" w:rsidP="009170A5">
      <w:pPr>
        <w:rPr>
          <w:b/>
          <w:i/>
          <w:szCs w:val="24"/>
          <w:lang w:val="ru-RU"/>
        </w:rPr>
      </w:pPr>
      <w:r w:rsidRPr="006E100A">
        <w:rPr>
          <w:bCs/>
          <w:i/>
          <w:iCs/>
          <w:sz w:val="22"/>
          <w:szCs w:val="22"/>
        </w:rPr>
        <w:t>Уча</w:t>
      </w:r>
      <w:r w:rsidR="006E100A" w:rsidRPr="006E100A">
        <w:rPr>
          <w:bCs/>
          <w:i/>
          <w:iCs/>
          <w:sz w:val="22"/>
          <w:szCs w:val="22"/>
        </w:rPr>
        <w:t>с</w:t>
      </w:r>
      <w:r w:rsidRPr="006E100A">
        <w:rPr>
          <w:bCs/>
          <w:i/>
          <w:iCs/>
          <w:sz w:val="22"/>
          <w:szCs w:val="22"/>
        </w:rPr>
        <w:t>никам</w:t>
      </w:r>
      <w:r w:rsidR="003363E2" w:rsidRPr="006E100A">
        <w:rPr>
          <w:bCs/>
          <w:i/>
          <w:iCs/>
          <w:sz w:val="22"/>
          <w:szCs w:val="22"/>
        </w:rPr>
        <w:t xml:space="preserve"> </w:t>
      </w:r>
      <w:proofErr w:type="spellStart"/>
      <w:r w:rsidR="003363E2" w:rsidRPr="006E100A">
        <w:rPr>
          <w:bCs/>
          <w:i/>
          <w:iCs/>
          <w:sz w:val="22"/>
          <w:szCs w:val="22"/>
        </w:rPr>
        <w:t>ПТ</w:t>
      </w:r>
      <w:proofErr w:type="spellEnd"/>
      <w:r w:rsidR="003363E2" w:rsidRPr="006E100A">
        <w:rPr>
          <w:bCs/>
          <w:i/>
          <w:iCs/>
          <w:sz w:val="22"/>
          <w:szCs w:val="22"/>
        </w:rPr>
        <w:t xml:space="preserve"> </w:t>
      </w:r>
      <w:r w:rsidR="009170A5">
        <w:rPr>
          <w:bCs/>
          <w:i/>
          <w:iCs/>
          <w:sz w:val="22"/>
          <w:szCs w:val="22"/>
        </w:rPr>
        <w:t xml:space="preserve"> </w:t>
      </w:r>
      <w:r w:rsidR="009170A5" w:rsidRPr="009170A5">
        <w:rPr>
          <w:b/>
          <w:bCs/>
          <w:szCs w:val="24"/>
        </w:rPr>
        <w:t xml:space="preserve">« Ломбард « </w:t>
      </w:r>
      <w:proofErr w:type="spellStart"/>
      <w:r w:rsidR="009170A5" w:rsidRPr="009170A5">
        <w:rPr>
          <w:b/>
          <w:bCs/>
          <w:szCs w:val="24"/>
          <w:lang w:val="ru-RU"/>
        </w:rPr>
        <w:t>Шелегон</w:t>
      </w:r>
      <w:proofErr w:type="spellEnd"/>
      <w:r w:rsidR="009170A5" w:rsidRPr="009170A5">
        <w:rPr>
          <w:b/>
          <w:bCs/>
          <w:szCs w:val="24"/>
          <w:lang w:val="ru-RU"/>
        </w:rPr>
        <w:t xml:space="preserve"> </w:t>
      </w:r>
      <w:r w:rsidR="009170A5" w:rsidRPr="009170A5">
        <w:rPr>
          <w:b/>
          <w:szCs w:val="24"/>
        </w:rPr>
        <w:t xml:space="preserve"> і компанія »</w:t>
      </w:r>
    </w:p>
    <w:p w:rsidR="00791D4E" w:rsidRPr="00DE398A" w:rsidRDefault="009170A5" w:rsidP="00534943">
      <w:pPr>
        <w:rPr>
          <w:bCs/>
          <w:i/>
          <w:iCs/>
          <w:sz w:val="22"/>
          <w:szCs w:val="22"/>
        </w:rPr>
      </w:pPr>
      <w:r w:rsidRPr="00534943">
        <w:rPr>
          <w:bCs/>
          <w:i/>
          <w:sz w:val="22"/>
          <w:szCs w:val="22"/>
        </w:rPr>
        <w:t xml:space="preserve"> </w:t>
      </w:r>
      <w:r w:rsidR="00CA3C31" w:rsidRPr="00CA3C31">
        <w:rPr>
          <w:bCs/>
          <w:i/>
          <w:iCs/>
          <w:sz w:val="22"/>
          <w:szCs w:val="22"/>
        </w:rPr>
        <w:t>Національній комісії, що здійснює державне регулювання у сфері ринків фінансових послуг</w:t>
      </w:r>
    </w:p>
    <w:p w:rsidR="00791D4E" w:rsidRPr="00DE398A" w:rsidRDefault="00791D4E" w:rsidP="00196941">
      <w:pPr>
        <w:rPr>
          <w:iCs/>
          <w:sz w:val="22"/>
          <w:szCs w:val="22"/>
        </w:rPr>
      </w:pPr>
    </w:p>
    <w:p w:rsidR="00196941" w:rsidRPr="00316496" w:rsidRDefault="00196941" w:rsidP="00B84356">
      <w:pPr>
        <w:rPr>
          <w:iCs/>
          <w:sz w:val="22"/>
          <w:szCs w:val="22"/>
        </w:rPr>
      </w:pPr>
      <w:r w:rsidRPr="00DE398A">
        <w:rPr>
          <w:iCs/>
          <w:sz w:val="22"/>
          <w:szCs w:val="22"/>
        </w:rPr>
        <w:t xml:space="preserve">м. Івано-Франківськ                                                                                             </w:t>
      </w:r>
      <w:r w:rsidR="00234F32" w:rsidRPr="00A851A3">
        <w:rPr>
          <w:iCs/>
          <w:sz w:val="22"/>
          <w:szCs w:val="22"/>
        </w:rPr>
        <w:t xml:space="preserve">      </w:t>
      </w:r>
      <w:r w:rsidRPr="00DE398A">
        <w:rPr>
          <w:iCs/>
          <w:sz w:val="22"/>
          <w:szCs w:val="22"/>
        </w:rPr>
        <w:t xml:space="preserve"> </w:t>
      </w:r>
      <w:r w:rsidR="001316D2">
        <w:rPr>
          <w:iCs/>
          <w:sz w:val="22"/>
          <w:szCs w:val="22"/>
          <w:lang w:val="ru-RU"/>
        </w:rPr>
        <w:t>11</w:t>
      </w:r>
      <w:r w:rsidRPr="00316496">
        <w:rPr>
          <w:iCs/>
          <w:sz w:val="22"/>
          <w:szCs w:val="22"/>
        </w:rPr>
        <w:t xml:space="preserve"> </w:t>
      </w:r>
      <w:r w:rsidR="00316496" w:rsidRPr="00316496">
        <w:rPr>
          <w:iCs/>
          <w:sz w:val="22"/>
          <w:szCs w:val="22"/>
        </w:rPr>
        <w:t xml:space="preserve"> квітня </w:t>
      </w:r>
      <w:r w:rsidR="00827107" w:rsidRPr="00316496">
        <w:rPr>
          <w:iCs/>
          <w:sz w:val="22"/>
          <w:szCs w:val="22"/>
        </w:rPr>
        <w:t xml:space="preserve"> </w:t>
      </w:r>
      <w:r w:rsidRPr="00316496">
        <w:rPr>
          <w:iCs/>
          <w:sz w:val="22"/>
          <w:szCs w:val="22"/>
        </w:rPr>
        <w:t>201</w:t>
      </w:r>
      <w:r w:rsidR="001316D2">
        <w:rPr>
          <w:iCs/>
          <w:sz w:val="22"/>
          <w:szCs w:val="22"/>
          <w:lang w:val="ru-RU"/>
        </w:rPr>
        <w:t>6</w:t>
      </w:r>
      <w:r w:rsidR="000E09A8">
        <w:rPr>
          <w:iCs/>
          <w:sz w:val="22"/>
          <w:szCs w:val="22"/>
        </w:rPr>
        <w:t xml:space="preserve"> </w:t>
      </w:r>
      <w:r w:rsidRPr="00316496">
        <w:rPr>
          <w:iCs/>
          <w:sz w:val="22"/>
          <w:szCs w:val="22"/>
        </w:rPr>
        <w:t xml:space="preserve"> р.</w:t>
      </w:r>
    </w:p>
    <w:p w:rsidR="00196941" w:rsidRPr="00DE398A" w:rsidRDefault="00196941" w:rsidP="003363E2">
      <w:pPr>
        <w:rPr>
          <w:i/>
          <w:sz w:val="22"/>
          <w:szCs w:val="22"/>
        </w:rPr>
      </w:pPr>
    </w:p>
    <w:p w:rsidR="0097488F" w:rsidRPr="00A851A3" w:rsidRDefault="0097488F" w:rsidP="007127CA">
      <w:pPr>
        <w:ind w:left="567"/>
        <w:rPr>
          <w:i/>
          <w:sz w:val="22"/>
          <w:szCs w:val="22"/>
        </w:rPr>
      </w:pPr>
    </w:p>
    <w:p w:rsidR="002C121F" w:rsidRPr="00DE398A" w:rsidRDefault="002C121F" w:rsidP="002C121F">
      <w:pPr>
        <w:jc w:val="center"/>
        <w:rPr>
          <w:b/>
          <w:iCs/>
          <w:sz w:val="22"/>
          <w:szCs w:val="22"/>
        </w:rPr>
      </w:pPr>
      <w:r w:rsidRPr="00DE398A">
        <w:rPr>
          <w:b/>
          <w:iCs/>
          <w:sz w:val="22"/>
          <w:szCs w:val="22"/>
        </w:rPr>
        <w:t>І. Звіт щодо фінансової звітності</w:t>
      </w:r>
    </w:p>
    <w:p w:rsidR="002C121F" w:rsidRPr="00DE398A" w:rsidRDefault="002C121F" w:rsidP="002C121F">
      <w:pPr>
        <w:shd w:val="clear" w:color="auto" w:fill="FFFFFF"/>
        <w:jc w:val="both"/>
        <w:rPr>
          <w:b/>
          <w:color w:val="000000"/>
          <w:spacing w:val="2"/>
          <w:sz w:val="22"/>
          <w:szCs w:val="22"/>
        </w:rPr>
      </w:pPr>
      <w:r w:rsidRPr="00DE398A">
        <w:rPr>
          <w:b/>
          <w:color w:val="000000"/>
          <w:spacing w:val="2"/>
          <w:sz w:val="22"/>
          <w:szCs w:val="22"/>
        </w:rPr>
        <w:t>1. Вступний параграф</w:t>
      </w:r>
    </w:p>
    <w:p w:rsidR="002C121F" w:rsidRPr="00060386" w:rsidRDefault="002C121F" w:rsidP="002C121F">
      <w:pPr>
        <w:jc w:val="center"/>
        <w:rPr>
          <w:b/>
          <w:iCs/>
          <w:sz w:val="12"/>
          <w:szCs w:val="12"/>
        </w:rPr>
      </w:pPr>
    </w:p>
    <w:p w:rsidR="009170A5" w:rsidRDefault="009170A5" w:rsidP="009170A5">
      <w:pPr>
        <w:pStyle w:val="WW-2"/>
        <w:ind w:left="11" w:firstLine="0"/>
        <w:jc w:val="center"/>
        <w:rPr>
          <w:b/>
          <w:sz w:val="22"/>
          <w:szCs w:val="22"/>
        </w:rPr>
      </w:pPr>
      <w:r>
        <w:rPr>
          <w:b/>
          <w:sz w:val="22"/>
          <w:szCs w:val="22"/>
        </w:rPr>
        <w:t>Основні відомості про Товариство</w:t>
      </w:r>
    </w:p>
    <w:p w:rsidR="009170A5" w:rsidRDefault="009170A5" w:rsidP="009170A5">
      <w:pPr>
        <w:pStyle w:val="WW-2"/>
        <w:ind w:left="11" w:firstLine="0"/>
        <w:jc w:val="center"/>
        <w:rPr>
          <w:b/>
          <w:sz w:val="22"/>
          <w:szCs w:val="22"/>
        </w:rPr>
      </w:pPr>
    </w:p>
    <w:tbl>
      <w:tblPr>
        <w:tblW w:w="0" w:type="auto"/>
        <w:tblInd w:w="108" w:type="dxa"/>
        <w:tblLayout w:type="fixed"/>
        <w:tblLook w:val="0000"/>
      </w:tblPr>
      <w:tblGrid>
        <w:gridCol w:w="3828"/>
        <w:gridCol w:w="6388"/>
      </w:tblGrid>
      <w:tr w:rsidR="009170A5" w:rsidTr="0098742E">
        <w:trPr>
          <w:cantSplit/>
        </w:trPr>
        <w:tc>
          <w:tcPr>
            <w:tcW w:w="3828" w:type="dxa"/>
            <w:tcBorders>
              <w:top w:val="single" w:sz="4" w:space="0" w:color="000000"/>
              <w:left w:val="single" w:sz="4" w:space="0" w:color="000000"/>
              <w:bottom w:val="single" w:sz="4" w:space="0" w:color="000000"/>
            </w:tcBorders>
            <w:shd w:val="clear" w:color="auto" w:fill="auto"/>
          </w:tcPr>
          <w:p w:rsidR="009170A5" w:rsidRDefault="009170A5" w:rsidP="0098742E">
            <w:pPr>
              <w:snapToGrid w:val="0"/>
              <w:spacing w:line="240" w:lineRule="atLeast"/>
              <w:rPr>
                <w:sz w:val="22"/>
                <w:szCs w:val="22"/>
              </w:rPr>
            </w:pPr>
            <w:r>
              <w:rPr>
                <w:sz w:val="22"/>
                <w:szCs w:val="22"/>
              </w:rPr>
              <w:t xml:space="preserve">Повна назва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9170A5" w:rsidRPr="000E09A8" w:rsidRDefault="003D34F1" w:rsidP="009170A5">
            <w:pPr>
              <w:jc w:val="center"/>
              <w:rPr>
                <w:b/>
                <w:iCs/>
                <w:color w:val="FF0000"/>
                <w:sz w:val="22"/>
                <w:szCs w:val="22"/>
              </w:rPr>
            </w:pPr>
            <w:r>
              <w:rPr>
                <w:b/>
                <w:bCs/>
                <w:szCs w:val="24"/>
                <w:lang w:val="ru-RU"/>
              </w:rPr>
              <w:t>П</w:t>
            </w:r>
            <w:proofErr w:type="spellStart"/>
            <w:r w:rsidR="009170A5" w:rsidRPr="000E09A8">
              <w:rPr>
                <w:b/>
                <w:bCs/>
                <w:szCs w:val="24"/>
              </w:rPr>
              <w:t>овне</w:t>
            </w:r>
            <w:proofErr w:type="spellEnd"/>
            <w:r w:rsidR="009170A5" w:rsidRPr="000E09A8">
              <w:rPr>
                <w:b/>
                <w:bCs/>
                <w:szCs w:val="24"/>
              </w:rPr>
              <w:t xml:space="preserve"> товариство « Ломбард « </w:t>
            </w:r>
            <w:proofErr w:type="spellStart"/>
            <w:r w:rsidR="009170A5" w:rsidRPr="000E09A8">
              <w:rPr>
                <w:b/>
                <w:bCs/>
                <w:szCs w:val="24"/>
                <w:lang w:val="ru-RU"/>
              </w:rPr>
              <w:t>Шелегон</w:t>
            </w:r>
            <w:proofErr w:type="spellEnd"/>
            <w:r w:rsidR="009170A5" w:rsidRPr="000E09A8">
              <w:rPr>
                <w:b/>
                <w:bCs/>
                <w:szCs w:val="24"/>
                <w:lang w:val="ru-RU"/>
              </w:rPr>
              <w:t xml:space="preserve"> </w:t>
            </w:r>
            <w:r w:rsidR="009170A5" w:rsidRPr="000E09A8">
              <w:rPr>
                <w:b/>
                <w:szCs w:val="24"/>
              </w:rPr>
              <w:t xml:space="preserve"> і компанія »</w:t>
            </w:r>
          </w:p>
        </w:tc>
      </w:tr>
      <w:tr w:rsidR="009170A5" w:rsidTr="0098742E">
        <w:trPr>
          <w:cantSplit/>
        </w:trPr>
        <w:tc>
          <w:tcPr>
            <w:tcW w:w="3828" w:type="dxa"/>
            <w:tcBorders>
              <w:top w:val="single" w:sz="4" w:space="0" w:color="000000"/>
              <w:left w:val="single" w:sz="4" w:space="0" w:color="000000"/>
              <w:bottom w:val="single" w:sz="4" w:space="0" w:color="000000"/>
            </w:tcBorders>
            <w:shd w:val="clear" w:color="auto" w:fill="auto"/>
          </w:tcPr>
          <w:p w:rsidR="009170A5" w:rsidRDefault="009170A5" w:rsidP="0098742E">
            <w:pPr>
              <w:snapToGrid w:val="0"/>
              <w:spacing w:line="240" w:lineRule="atLeast"/>
              <w:rPr>
                <w:sz w:val="22"/>
                <w:szCs w:val="22"/>
              </w:rPr>
            </w:pPr>
            <w:r>
              <w:rPr>
                <w:sz w:val="22"/>
                <w:szCs w:val="22"/>
              </w:rPr>
              <w:t>Код ЄДРПОУ</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9170A5" w:rsidRDefault="009170A5" w:rsidP="0098742E">
            <w:pPr>
              <w:snapToGrid w:val="0"/>
              <w:spacing w:line="240" w:lineRule="atLeast"/>
              <w:rPr>
                <w:sz w:val="22"/>
                <w:szCs w:val="22"/>
              </w:rPr>
            </w:pPr>
            <w:r>
              <w:rPr>
                <w:sz w:val="22"/>
                <w:szCs w:val="22"/>
              </w:rPr>
              <w:t>14273061</w:t>
            </w:r>
          </w:p>
        </w:tc>
      </w:tr>
      <w:tr w:rsidR="009170A5" w:rsidTr="0098742E">
        <w:trPr>
          <w:cantSplit/>
        </w:trPr>
        <w:tc>
          <w:tcPr>
            <w:tcW w:w="3828" w:type="dxa"/>
            <w:tcBorders>
              <w:top w:val="single" w:sz="4" w:space="0" w:color="000000"/>
              <w:left w:val="single" w:sz="4" w:space="0" w:color="000000"/>
              <w:bottom w:val="single" w:sz="4" w:space="0" w:color="000000"/>
            </w:tcBorders>
            <w:shd w:val="clear" w:color="auto" w:fill="auto"/>
          </w:tcPr>
          <w:p w:rsidR="009170A5" w:rsidRDefault="009170A5" w:rsidP="0098742E">
            <w:pPr>
              <w:snapToGrid w:val="0"/>
              <w:spacing w:line="240" w:lineRule="atLeast"/>
              <w:rPr>
                <w:sz w:val="22"/>
                <w:szCs w:val="22"/>
              </w:rPr>
            </w:pPr>
            <w:r>
              <w:rPr>
                <w:sz w:val="22"/>
                <w:szCs w:val="22"/>
              </w:rPr>
              <w:t>Місцезнаходження</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9170A5" w:rsidRDefault="009170A5" w:rsidP="0098742E">
            <w:pPr>
              <w:snapToGrid w:val="0"/>
              <w:spacing w:line="240" w:lineRule="atLeast"/>
              <w:rPr>
                <w:sz w:val="22"/>
                <w:szCs w:val="22"/>
              </w:rPr>
            </w:pPr>
            <w:r>
              <w:rPr>
                <w:sz w:val="22"/>
                <w:szCs w:val="22"/>
              </w:rPr>
              <w:t>58000 Чернівецька область м. Чернівці,</w:t>
            </w:r>
            <w:r w:rsidR="000E09A8">
              <w:rPr>
                <w:sz w:val="22"/>
                <w:szCs w:val="22"/>
              </w:rPr>
              <w:t xml:space="preserve"> </w:t>
            </w:r>
            <w:r>
              <w:rPr>
                <w:sz w:val="22"/>
                <w:szCs w:val="22"/>
              </w:rPr>
              <w:t xml:space="preserve"> Центральна площа, будинок 4 </w:t>
            </w:r>
          </w:p>
        </w:tc>
      </w:tr>
      <w:tr w:rsidR="009170A5" w:rsidTr="0098742E">
        <w:trPr>
          <w:cantSplit/>
        </w:trPr>
        <w:tc>
          <w:tcPr>
            <w:tcW w:w="3828" w:type="dxa"/>
            <w:tcBorders>
              <w:top w:val="single" w:sz="4" w:space="0" w:color="000000"/>
              <w:left w:val="single" w:sz="4" w:space="0" w:color="000000"/>
              <w:bottom w:val="single" w:sz="4" w:space="0" w:color="000000"/>
            </w:tcBorders>
            <w:shd w:val="clear" w:color="auto" w:fill="auto"/>
          </w:tcPr>
          <w:p w:rsidR="009170A5" w:rsidRDefault="009170A5" w:rsidP="0098742E">
            <w:pPr>
              <w:snapToGrid w:val="0"/>
              <w:spacing w:line="240" w:lineRule="atLeast"/>
              <w:rPr>
                <w:sz w:val="22"/>
                <w:szCs w:val="22"/>
              </w:rPr>
            </w:pPr>
            <w:r>
              <w:rPr>
                <w:sz w:val="22"/>
                <w:szCs w:val="22"/>
              </w:rPr>
              <w:t>Дата державної реєстрації</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9170A5" w:rsidRDefault="009170A5" w:rsidP="0098742E">
            <w:pPr>
              <w:snapToGrid w:val="0"/>
              <w:spacing w:line="240" w:lineRule="atLeast"/>
              <w:rPr>
                <w:sz w:val="22"/>
                <w:szCs w:val="22"/>
              </w:rPr>
            </w:pPr>
            <w:r>
              <w:rPr>
                <w:sz w:val="22"/>
                <w:szCs w:val="22"/>
              </w:rPr>
              <w:t>15.10.1999 року</w:t>
            </w:r>
          </w:p>
        </w:tc>
      </w:tr>
      <w:tr w:rsidR="009170A5" w:rsidTr="0098742E">
        <w:trPr>
          <w:cantSplit/>
        </w:trPr>
        <w:tc>
          <w:tcPr>
            <w:tcW w:w="3828" w:type="dxa"/>
            <w:tcBorders>
              <w:top w:val="single" w:sz="4" w:space="0" w:color="000000"/>
              <w:left w:val="single" w:sz="4" w:space="0" w:color="000000"/>
              <w:bottom w:val="single" w:sz="4" w:space="0" w:color="000000"/>
            </w:tcBorders>
            <w:shd w:val="clear" w:color="auto" w:fill="auto"/>
          </w:tcPr>
          <w:p w:rsidR="009170A5" w:rsidRDefault="009170A5" w:rsidP="0098742E">
            <w:pPr>
              <w:snapToGrid w:val="0"/>
              <w:spacing w:line="240" w:lineRule="atLeast"/>
              <w:rPr>
                <w:sz w:val="22"/>
                <w:szCs w:val="22"/>
              </w:rPr>
            </w:pPr>
            <w:r>
              <w:rPr>
                <w:sz w:val="22"/>
                <w:szCs w:val="22"/>
              </w:rPr>
              <w:t>Основні види діяльності відповідно до установчих документів</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9170A5" w:rsidRDefault="009170A5" w:rsidP="009170A5">
            <w:pPr>
              <w:numPr>
                <w:ilvl w:val="0"/>
                <w:numId w:val="31"/>
              </w:numPr>
              <w:tabs>
                <w:tab w:val="left" w:pos="34"/>
                <w:tab w:val="left" w:pos="317"/>
              </w:tabs>
              <w:snapToGrid w:val="0"/>
              <w:ind w:left="34" w:firstLine="0"/>
              <w:rPr>
                <w:sz w:val="22"/>
                <w:szCs w:val="22"/>
              </w:rPr>
            </w:pPr>
            <w:r>
              <w:rPr>
                <w:sz w:val="22"/>
                <w:szCs w:val="22"/>
              </w:rPr>
              <w:t>надання фінансових кредитів за рахунок власних або залучених коштів під заставу майна на визначений строк і під процент;</w:t>
            </w:r>
          </w:p>
          <w:p w:rsidR="009170A5" w:rsidRDefault="009170A5" w:rsidP="009170A5">
            <w:pPr>
              <w:numPr>
                <w:ilvl w:val="0"/>
                <w:numId w:val="31"/>
              </w:numPr>
              <w:tabs>
                <w:tab w:val="left" w:pos="34"/>
                <w:tab w:val="left" w:pos="317"/>
              </w:tabs>
              <w:ind w:left="34" w:firstLine="0"/>
              <w:rPr>
                <w:sz w:val="22"/>
                <w:szCs w:val="22"/>
              </w:rPr>
            </w:pPr>
            <w:r>
              <w:rPr>
                <w:sz w:val="22"/>
                <w:szCs w:val="22"/>
              </w:rPr>
              <w:t>надання посередницьких послуг зі страхування предмета застави на підставі агентського договору зі страховою компанією;</w:t>
            </w:r>
          </w:p>
          <w:p w:rsidR="009170A5" w:rsidRDefault="009170A5" w:rsidP="009170A5">
            <w:pPr>
              <w:numPr>
                <w:ilvl w:val="0"/>
                <w:numId w:val="31"/>
              </w:numPr>
              <w:tabs>
                <w:tab w:val="left" w:pos="34"/>
                <w:tab w:val="left" w:pos="317"/>
              </w:tabs>
              <w:ind w:left="34" w:firstLine="0"/>
              <w:rPr>
                <w:sz w:val="22"/>
                <w:szCs w:val="22"/>
              </w:rPr>
            </w:pPr>
            <w:r>
              <w:rPr>
                <w:sz w:val="22"/>
                <w:szCs w:val="22"/>
              </w:rPr>
              <w:t>оцінка заставленого майна відповідно до чинного законодавства та/або умов договору;</w:t>
            </w:r>
          </w:p>
          <w:p w:rsidR="009170A5" w:rsidRDefault="009170A5" w:rsidP="009170A5">
            <w:pPr>
              <w:numPr>
                <w:ilvl w:val="0"/>
                <w:numId w:val="31"/>
              </w:numPr>
              <w:tabs>
                <w:tab w:val="left" w:pos="34"/>
                <w:tab w:val="left" w:pos="317"/>
              </w:tabs>
              <w:ind w:left="34" w:firstLine="0"/>
              <w:rPr>
                <w:sz w:val="22"/>
                <w:szCs w:val="22"/>
              </w:rPr>
            </w:pPr>
            <w:r>
              <w:rPr>
                <w:sz w:val="22"/>
                <w:szCs w:val="22"/>
              </w:rPr>
              <w:t>реалізація заставленого майна відповідно до чинного законодавства та/або умов договору.</w:t>
            </w:r>
          </w:p>
        </w:tc>
      </w:tr>
      <w:tr w:rsidR="009170A5" w:rsidTr="0098742E">
        <w:trPr>
          <w:cantSplit/>
        </w:trPr>
        <w:tc>
          <w:tcPr>
            <w:tcW w:w="3828" w:type="dxa"/>
            <w:tcBorders>
              <w:top w:val="single" w:sz="4" w:space="0" w:color="000000"/>
              <w:left w:val="single" w:sz="4" w:space="0" w:color="000000"/>
              <w:bottom w:val="single" w:sz="4" w:space="0" w:color="000000"/>
            </w:tcBorders>
            <w:shd w:val="clear" w:color="auto" w:fill="auto"/>
          </w:tcPr>
          <w:p w:rsidR="009170A5" w:rsidRDefault="009170A5" w:rsidP="0098742E">
            <w:pPr>
              <w:snapToGrid w:val="0"/>
              <w:spacing w:line="240" w:lineRule="atLeast"/>
              <w:rPr>
                <w:sz w:val="22"/>
                <w:szCs w:val="22"/>
              </w:rPr>
            </w:pPr>
            <w:r>
              <w:rPr>
                <w:sz w:val="22"/>
                <w:szCs w:val="22"/>
              </w:rPr>
              <w:t xml:space="preserve">Чисельність працівників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9170A5" w:rsidRPr="00011F3E" w:rsidRDefault="009170A5" w:rsidP="0098742E">
            <w:pPr>
              <w:snapToGrid w:val="0"/>
              <w:spacing w:line="240" w:lineRule="atLeast"/>
              <w:rPr>
                <w:b/>
                <w:sz w:val="22"/>
                <w:szCs w:val="22"/>
              </w:rPr>
            </w:pPr>
            <w:r w:rsidRPr="00011F3E">
              <w:rPr>
                <w:b/>
                <w:sz w:val="22"/>
                <w:szCs w:val="22"/>
              </w:rPr>
              <w:t>2</w:t>
            </w:r>
          </w:p>
        </w:tc>
      </w:tr>
      <w:tr w:rsidR="009170A5" w:rsidTr="0098742E">
        <w:trPr>
          <w:cantSplit/>
        </w:trPr>
        <w:tc>
          <w:tcPr>
            <w:tcW w:w="3828" w:type="dxa"/>
            <w:tcBorders>
              <w:top w:val="single" w:sz="4" w:space="0" w:color="000000"/>
              <w:left w:val="single" w:sz="4" w:space="0" w:color="000000"/>
              <w:bottom w:val="single" w:sz="4" w:space="0" w:color="000000"/>
            </w:tcBorders>
            <w:shd w:val="clear" w:color="auto" w:fill="auto"/>
          </w:tcPr>
          <w:p w:rsidR="009170A5" w:rsidRDefault="009170A5" w:rsidP="0098742E">
            <w:pPr>
              <w:snapToGrid w:val="0"/>
              <w:spacing w:line="240" w:lineRule="atLeast"/>
              <w:rPr>
                <w:sz w:val="22"/>
                <w:szCs w:val="22"/>
              </w:rPr>
            </w:pPr>
            <w:r>
              <w:rPr>
                <w:sz w:val="22"/>
                <w:szCs w:val="22"/>
              </w:rPr>
              <w:t>Номери, серії, дати видачі, термін дія ліцензії та/або дозволу на здійснення діяльності</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9170A5" w:rsidRDefault="009170A5" w:rsidP="0098742E">
            <w:pPr>
              <w:spacing w:line="240" w:lineRule="atLeast"/>
              <w:ind w:left="34"/>
              <w:rPr>
                <w:sz w:val="22"/>
                <w:szCs w:val="22"/>
              </w:rPr>
            </w:pPr>
            <w:r>
              <w:rPr>
                <w:sz w:val="22"/>
                <w:szCs w:val="22"/>
              </w:rPr>
              <w:t>Відсутні</w:t>
            </w:r>
          </w:p>
        </w:tc>
      </w:tr>
      <w:tr w:rsidR="009170A5" w:rsidTr="0098742E">
        <w:trPr>
          <w:cantSplit/>
        </w:trPr>
        <w:tc>
          <w:tcPr>
            <w:tcW w:w="3828" w:type="dxa"/>
            <w:tcBorders>
              <w:top w:val="single" w:sz="4" w:space="0" w:color="000000"/>
              <w:left w:val="single" w:sz="4" w:space="0" w:color="000000"/>
              <w:bottom w:val="single" w:sz="4" w:space="0" w:color="000000"/>
            </w:tcBorders>
            <w:shd w:val="clear" w:color="auto" w:fill="auto"/>
          </w:tcPr>
          <w:p w:rsidR="009170A5" w:rsidRPr="00011F3E" w:rsidRDefault="009170A5" w:rsidP="0098742E">
            <w:pPr>
              <w:snapToGrid w:val="0"/>
              <w:spacing w:line="240" w:lineRule="atLeast"/>
              <w:rPr>
                <w:sz w:val="22"/>
                <w:szCs w:val="22"/>
              </w:rPr>
            </w:pPr>
            <w:r w:rsidRPr="00011F3E">
              <w:rPr>
                <w:sz w:val="22"/>
                <w:szCs w:val="22"/>
              </w:rPr>
              <w:t>Наявність відокремлених підрозділів</w:t>
            </w:r>
          </w:p>
        </w:tc>
        <w:tc>
          <w:tcPr>
            <w:tcW w:w="6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A5" w:rsidRPr="00011F3E" w:rsidRDefault="009170A5" w:rsidP="0098742E">
            <w:pPr>
              <w:snapToGrid w:val="0"/>
              <w:spacing w:line="240" w:lineRule="atLeast"/>
              <w:ind w:left="34"/>
              <w:rPr>
                <w:sz w:val="22"/>
                <w:szCs w:val="22"/>
              </w:rPr>
            </w:pPr>
            <w:r w:rsidRPr="00011F3E">
              <w:rPr>
                <w:sz w:val="22"/>
                <w:szCs w:val="22"/>
              </w:rPr>
              <w:t>Відсутні</w:t>
            </w:r>
          </w:p>
        </w:tc>
      </w:tr>
    </w:tbl>
    <w:p w:rsidR="00AE3D1D" w:rsidRPr="003D63F0" w:rsidRDefault="007127CA" w:rsidP="000E09A8">
      <w:pPr>
        <w:ind w:firstLine="720"/>
        <w:jc w:val="both"/>
        <w:rPr>
          <w:b/>
          <w:color w:val="000000"/>
          <w:spacing w:val="2"/>
          <w:sz w:val="22"/>
          <w:szCs w:val="22"/>
        </w:rPr>
      </w:pPr>
      <w:r w:rsidRPr="00DE398A">
        <w:rPr>
          <w:color w:val="000000"/>
          <w:spacing w:val="2"/>
          <w:sz w:val="22"/>
          <w:szCs w:val="22"/>
        </w:rPr>
        <w:t>Ми провели аудиторську перевірку фінансов</w:t>
      </w:r>
      <w:r w:rsidR="00E87978" w:rsidRPr="00DE398A">
        <w:rPr>
          <w:color w:val="000000"/>
          <w:spacing w:val="2"/>
          <w:sz w:val="22"/>
          <w:szCs w:val="22"/>
        </w:rPr>
        <w:t>ої</w:t>
      </w:r>
      <w:r w:rsidRPr="00DE398A">
        <w:rPr>
          <w:color w:val="000000"/>
          <w:spacing w:val="2"/>
          <w:sz w:val="22"/>
          <w:szCs w:val="22"/>
        </w:rPr>
        <w:t xml:space="preserve"> звіт</w:t>
      </w:r>
      <w:r w:rsidR="00E87978" w:rsidRPr="00DE398A">
        <w:rPr>
          <w:color w:val="000000"/>
          <w:spacing w:val="2"/>
          <w:sz w:val="22"/>
          <w:szCs w:val="22"/>
        </w:rPr>
        <w:t>ності</w:t>
      </w:r>
      <w:r w:rsidR="009170A5">
        <w:rPr>
          <w:color w:val="000000"/>
          <w:spacing w:val="2"/>
          <w:sz w:val="22"/>
          <w:szCs w:val="22"/>
        </w:rPr>
        <w:t xml:space="preserve">  </w:t>
      </w:r>
      <w:proofErr w:type="spellStart"/>
      <w:r w:rsidR="00F70570" w:rsidRPr="00F70570">
        <w:rPr>
          <w:b/>
          <w:color w:val="000000"/>
          <w:spacing w:val="2"/>
          <w:sz w:val="22"/>
          <w:szCs w:val="22"/>
          <w:lang w:val="ru-RU"/>
        </w:rPr>
        <w:t>п</w:t>
      </w:r>
      <w:r w:rsidR="003D63F0" w:rsidRPr="00F70570">
        <w:rPr>
          <w:b/>
          <w:color w:val="000000"/>
          <w:spacing w:val="2"/>
          <w:sz w:val="22"/>
          <w:szCs w:val="22"/>
        </w:rPr>
        <w:t>о</w:t>
      </w:r>
      <w:r w:rsidR="003D63F0" w:rsidRPr="009170A5">
        <w:rPr>
          <w:b/>
          <w:color w:val="000000"/>
          <w:spacing w:val="2"/>
          <w:sz w:val="22"/>
          <w:szCs w:val="22"/>
        </w:rPr>
        <w:t>вного</w:t>
      </w:r>
      <w:proofErr w:type="spellEnd"/>
      <w:r w:rsidR="003D63F0" w:rsidRPr="009170A5">
        <w:rPr>
          <w:b/>
          <w:color w:val="000000"/>
          <w:spacing w:val="2"/>
          <w:sz w:val="22"/>
          <w:szCs w:val="22"/>
        </w:rPr>
        <w:t xml:space="preserve"> товариства </w:t>
      </w:r>
      <w:r w:rsidR="003D63F0" w:rsidRPr="009170A5">
        <w:rPr>
          <w:b/>
          <w:bCs/>
          <w:szCs w:val="24"/>
        </w:rPr>
        <w:t xml:space="preserve">« Ломбард « </w:t>
      </w:r>
      <w:proofErr w:type="spellStart"/>
      <w:r w:rsidR="003D63F0" w:rsidRPr="009170A5">
        <w:rPr>
          <w:b/>
          <w:bCs/>
          <w:szCs w:val="24"/>
          <w:lang w:val="ru-RU"/>
        </w:rPr>
        <w:t>Шелегон</w:t>
      </w:r>
      <w:proofErr w:type="spellEnd"/>
      <w:r w:rsidR="003D63F0" w:rsidRPr="009170A5">
        <w:rPr>
          <w:b/>
          <w:bCs/>
          <w:szCs w:val="24"/>
          <w:lang w:val="ru-RU"/>
        </w:rPr>
        <w:t xml:space="preserve"> </w:t>
      </w:r>
      <w:r w:rsidR="003D63F0" w:rsidRPr="009170A5">
        <w:rPr>
          <w:b/>
          <w:szCs w:val="24"/>
        </w:rPr>
        <w:t xml:space="preserve"> і компанія »</w:t>
      </w:r>
      <w:r w:rsidR="006423D1" w:rsidRPr="00DE398A">
        <w:rPr>
          <w:color w:val="000000"/>
          <w:spacing w:val="-3"/>
          <w:sz w:val="22"/>
          <w:szCs w:val="22"/>
        </w:rPr>
        <w:t xml:space="preserve"> </w:t>
      </w:r>
      <w:r w:rsidRPr="00DE398A">
        <w:rPr>
          <w:color w:val="000000"/>
          <w:spacing w:val="-3"/>
          <w:sz w:val="22"/>
          <w:szCs w:val="22"/>
        </w:rPr>
        <w:t>(далі – Товариство)</w:t>
      </w:r>
      <w:r w:rsidRPr="00DE398A">
        <w:rPr>
          <w:color w:val="000000"/>
          <w:spacing w:val="2"/>
          <w:sz w:val="22"/>
          <w:szCs w:val="22"/>
        </w:rPr>
        <w:t xml:space="preserve">, що </w:t>
      </w:r>
      <w:r w:rsidRPr="00DE398A">
        <w:rPr>
          <w:color w:val="000000"/>
          <w:spacing w:val="-3"/>
          <w:sz w:val="22"/>
          <w:szCs w:val="22"/>
        </w:rPr>
        <w:t>включа</w:t>
      </w:r>
      <w:r w:rsidR="00E87978" w:rsidRPr="00DE398A">
        <w:rPr>
          <w:color w:val="000000"/>
          <w:spacing w:val="-3"/>
          <w:sz w:val="22"/>
          <w:szCs w:val="22"/>
        </w:rPr>
        <w:t>є</w:t>
      </w:r>
      <w:r w:rsidR="00D40EFC" w:rsidRPr="00DE398A">
        <w:rPr>
          <w:color w:val="000000"/>
          <w:spacing w:val="-3"/>
          <w:sz w:val="22"/>
          <w:szCs w:val="22"/>
        </w:rPr>
        <w:t xml:space="preserve"> </w:t>
      </w:r>
      <w:r w:rsidR="00E87978" w:rsidRPr="00DE398A">
        <w:rPr>
          <w:bCs/>
          <w:color w:val="000000"/>
          <w:spacing w:val="-3"/>
          <w:sz w:val="22"/>
          <w:szCs w:val="22"/>
        </w:rPr>
        <w:t>Баланс (Звіт про фінансовий стан) станом на 31 грудня 201</w:t>
      </w:r>
      <w:r w:rsidR="003D34F1">
        <w:rPr>
          <w:bCs/>
          <w:color w:val="000000"/>
          <w:spacing w:val="-3"/>
          <w:sz w:val="22"/>
          <w:szCs w:val="22"/>
          <w:lang w:val="ru-RU"/>
        </w:rPr>
        <w:t>5</w:t>
      </w:r>
      <w:r w:rsidR="00E87978" w:rsidRPr="00DE398A">
        <w:rPr>
          <w:bCs/>
          <w:color w:val="000000"/>
          <w:spacing w:val="-3"/>
          <w:sz w:val="22"/>
          <w:szCs w:val="22"/>
        </w:rPr>
        <w:t xml:space="preserve"> року, Звіт про фінансові результати (Звіт про сукупний дохід), Звіт про рух грошових коштів (за прямим методом), Звіт про власний капітал за рік</w:t>
      </w:r>
      <w:r w:rsidR="00E87978" w:rsidRPr="00DE398A">
        <w:rPr>
          <w:bCs/>
          <w:color w:val="000000"/>
          <w:spacing w:val="1"/>
          <w:sz w:val="22"/>
          <w:szCs w:val="22"/>
        </w:rPr>
        <w:t xml:space="preserve">, </w:t>
      </w:r>
      <w:r w:rsidR="00196941" w:rsidRPr="00DE398A">
        <w:rPr>
          <w:color w:val="000000"/>
          <w:spacing w:val="-3"/>
          <w:sz w:val="22"/>
          <w:szCs w:val="22"/>
        </w:rPr>
        <w:t xml:space="preserve">що </w:t>
      </w:r>
      <w:r w:rsidR="00196941" w:rsidRPr="00DE398A">
        <w:rPr>
          <w:color w:val="000000"/>
          <w:spacing w:val="1"/>
          <w:sz w:val="22"/>
          <w:szCs w:val="22"/>
        </w:rPr>
        <w:t>минув на зазначену дату,</w:t>
      </w:r>
      <w:r w:rsidR="0077160E" w:rsidRPr="00DE398A">
        <w:rPr>
          <w:bCs/>
          <w:iCs/>
          <w:color w:val="000000"/>
          <w:sz w:val="22"/>
          <w:szCs w:val="22"/>
        </w:rPr>
        <w:t xml:space="preserve"> </w:t>
      </w:r>
      <w:r w:rsidR="006423D1">
        <w:rPr>
          <w:sz w:val="22"/>
          <w:szCs w:val="22"/>
        </w:rPr>
        <w:t xml:space="preserve">а також з </w:t>
      </w:r>
      <w:r w:rsidR="0077160E" w:rsidRPr="00DE398A">
        <w:rPr>
          <w:sz w:val="22"/>
          <w:szCs w:val="22"/>
        </w:rPr>
        <w:t>стислого викладу суттєвих принципів облікової політики та інших приміток</w:t>
      </w:r>
      <w:r w:rsidR="00BB1E97">
        <w:rPr>
          <w:sz w:val="22"/>
          <w:szCs w:val="22"/>
        </w:rPr>
        <w:t>.</w:t>
      </w:r>
    </w:p>
    <w:p w:rsidR="002C121F" w:rsidRPr="00DE398A" w:rsidRDefault="002C121F" w:rsidP="005C4655">
      <w:pPr>
        <w:shd w:val="clear" w:color="auto" w:fill="FFFFFF"/>
        <w:tabs>
          <w:tab w:val="left" w:pos="3754"/>
        </w:tabs>
        <w:jc w:val="both"/>
        <w:rPr>
          <w:color w:val="000000"/>
          <w:spacing w:val="-2"/>
          <w:sz w:val="22"/>
          <w:szCs w:val="22"/>
        </w:rPr>
      </w:pPr>
    </w:p>
    <w:p w:rsidR="002C121F" w:rsidRPr="00DE398A" w:rsidRDefault="002C121F" w:rsidP="002C121F">
      <w:pPr>
        <w:jc w:val="both"/>
        <w:rPr>
          <w:b/>
          <w:sz w:val="22"/>
          <w:szCs w:val="22"/>
        </w:rPr>
      </w:pPr>
      <w:r w:rsidRPr="00DE398A">
        <w:rPr>
          <w:b/>
          <w:sz w:val="22"/>
          <w:szCs w:val="22"/>
        </w:rPr>
        <w:lastRenderedPageBreak/>
        <w:t>2. Відповідальність управлінського персоналу за</w:t>
      </w:r>
      <w:r w:rsidR="005C4655" w:rsidRPr="00DE398A">
        <w:rPr>
          <w:b/>
          <w:sz w:val="22"/>
          <w:szCs w:val="22"/>
        </w:rPr>
        <w:t xml:space="preserve"> </w:t>
      </w:r>
      <w:r w:rsidRPr="00DE398A">
        <w:rPr>
          <w:b/>
          <w:sz w:val="22"/>
          <w:szCs w:val="22"/>
        </w:rPr>
        <w:t>фінансову звітність</w:t>
      </w:r>
    </w:p>
    <w:p w:rsidR="002C121F" w:rsidRDefault="00BB1E97" w:rsidP="00BB1E97">
      <w:pPr>
        <w:ind w:firstLine="539"/>
        <w:jc w:val="both"/>
        <w:rPr>
          <w:rFonts w:eastAsia="Calibri"/>
          <w:color w:val="000000"/>
          <w:sz w:val="22"/>
          <w:szCs w:val="22"/>
          <w:lang w:val="ru-RU" w:eastAsia="ru-RU"/>
        </w:rPr>
      </w:pPr>
      <w:r w:rsidRPr="00BB1E97">
        <w:rPr>
          <w:sz w:val="22"/>
          <w:szCs w:val="22"/>
        </w:rPr>
        <w:t xml:space="preserve">Управлінський персонал несе відповідальність за підготовку та достовірне представлення цих фінансових звітів у відповідності до </w:t>
      </w:r>
      <w:r w:rsidRPr="00BB1E97">
        <w:rPr>
          <w:color w:val="000000"/>
          <w:sz w:val="22"/>
          <w:szCs w:val="22"/>
        </w:rPr>
        <w:t>Міжнародних стандартів фінансової звітності (МСФЗ)</w:t>
      </w:r>
      <w:r w:rsidRPr="00BB1E97">
        <w:rPr>
          <w:sz w:val="22"/>
          <w:szCs w:val="22"/>
        </w:rPr>
        <w:t xml:space="preserve">. </w:t>
      </w:r>
      <w:r w:rsidRPr="00BB1E97">
        <w:rPr>
          <w:rFonts w:eastAsia="Calibri"/>
          <w:sz w:val="22"/>
          <w:szCs w:val="22"/>
          <w:lang w:eastAsia="ru-RU"/>
        </w:rPr>
        <w:t>Управлінський персонал також несе відповідальність</w:t>
      </w:r>
      <w:r w:rsidRPr="00BB1E97">
        <w:rPr>
          <w:rFonts w:eastAsia="Calibri"/>
          <w:i/>
          <w:iCs/>
          <w:sz w:val="22"/>
          <w:szCs w:val="22"/>
          <w:lang w:eastAsia="ru-RU"/>
        </w:rPr>
        <w:t xml:space="preserve"> </w:t>
      </w:r>
      <w:r w:rsidRPr="00BB1E97">
        <w:rPr>
          <w:rFonts w:eastAsia="Calibri"/>
          <w:color w:val="000000"/>
          <w:sz w:val="22"/>
          <w:szCs w:val="22"/>
          <w:lang w:eastAsia="ru-RU"/>
        </w:rPr>
        <w:t>за такий внутрішній контроль, який він визначає потрібним для того, щоб забезпечити складання фінансової звітності, що не містить суттєвих викривлень унаслідок шахрайства або помилки.</w:t>
      </w:r>
    </w:p>
    <w:p w:rsidR="00011F3E" w:rsidRDefault="00011F3E" w:rsidP="00C20E49">
      <w:pPr>
        <w:shd w:val="clear" w:color="auto" w:fill="FFFFFF"/>
        <w:autoSpaceDE w:val="0"/>
        <w:autoSpaceDN w:val="0"/>
        <w:adjustRightInd w:val="0"/>
        <w:ind w:firstLine="539"/>
        <w:jc w:val="both"/>
        <w:rPr>
          <w:szCs w:val="24"/>
        </w:rPr>
      </w:pPr>
      <w:r w:rsidRPr="00300473">
        <w:rPr>
          <w:szCs w:val="24"/>
        </w:rPr>
        <w:t xml:space="preserve">Відповідальність за правильність підготовки вказаної фінансової звітності та вступне сальдо по балансу  несуть посадові особи ломбарду. </w:t>
      </w:r>
    </w:p>
    <w:p w:rsidR="00011F3E" w:rsidRPr="00300473" w:rsidRDefault="00011F3E" w:rsidP="00697787">
      <w:pPr>
        <w:pStyle w:val="a8"/>
        <w:jc w:val="both"/>
        <w:rPr>
          <w:szCs w:val="24"/>
        </w:rPr>
      </w:pPr>
      <w:r w:rsidRPr="00300473">
        <w:rPr>
          <w:szCs w:val="24"/>
        </w:rPr>
        <w:t>Відповідальність управлінського персоналу охоплює: розробку, впровадження, використання</w:t>
      </w:r>
      <w:r>
        <w:rPr>
          <w:szCs w:val="24"/>
        </w:rPr>
        <w:t xml:space="preserve"> такого </w:t>
      </w:r>
      <w:r w:rsidRPr="00300473">
        <w:rPr>
          <w:szCs w:val="24"/>
        </w:rPr>
        <w:t>внутрішнього контролю</w:t>
      </w:r>
      <w:r>
        <w:rPr>
          <w:szCs w:val="24"/>
        </w:rPr>
        <w:t>, який управлінський персонал визначає потрібним для того, щоб забезпечити складання фінансової звітності</w:t>
      </w:r>
      <w:r w:rsidRPr="00300473">
        <w:rPr>
          <w:szCs w:val="24"/>
        </w:rPr>
        <w:t xml:space="preserve">, </w:t>
      </w:r>
      <w:r>
        <w:rPr>
          <w:szCs w:val="24"/>
        </w:rPr>
        <w:t>що</w:t>
      </w:r>
      <w:r w:rsidRPr="00300473">
        <w:rPr>
          <w:szCs w:val="24"/>
        </w:rPr>
        <w:t xml:space="preserve"> не містять суттєвих викривлень внаслідок шахрайства або помилки; вибір та застосування відповідної облікової політики, облікових оцінок, які відповідають обставинам. </w:t>
      </w:r>
    </w:p>
    <w:p w:rsidR="00011F3E" w:rsidRDefault="00011F3E" w:rsidP="00697787">
      <w:pPr>
        <w:ind w:firstLine="567"/>
        <w:jc w:val="both"/>
        <w:rPr>
          <w:szCs w:val="24"/>
        </w:rPr>
      </w:pPr>
      <w:r w:rsidRPr="00300473">
        <w:rPr>
          <w:szCs w:val="24"/>
        </w:rPr>
        <w:t xml:space="preserve">Управлінський персонал відповідає за твердження, що інформація щодо стосунків пов’язаних сторін належно відображені в обліку, що всі виконані операції відображені в облікових записах,  що невиправлені викривлення є несуттєвими як окремо, так і для фінансової звітності в цілому. </w:t>
      </w:r>
    </w:p>
    <w:p w:rsidR="00697787" w:rsidRPr="00300473" w:rsidRDefault="00697787" w:rsidP="00697787">
      <w:pPr>
        <w:ind w:firstLine="567"/>
        <w:jc w:val="both"/>
        <w:rPr>
          <w:szCs w:val="24"/>
        </w:rPr>
      </w:pPr>
    </w:p>
    <w:p w:rsidR="002C121F" w:rsidRDefault="002C121F" w:rsidP="002C121F">
      <w:pPr>
        <w:jc w:val="both"/>
        <w:rPr>
          <w:b/>
          <w:sz w:val="22"/>
          <w:szCs w:val="22"/>
        </w:rPr>
      </w:pPr>
      <w:r w:rsidRPr="00DE398A">
        <w:rPr>
          <w:b/>
          <w:sz w:val="22"/>
          <w:szCs w:val="22"/>
        </w:rPr>
        <w:t>3. Відповідальність аудитора</w:t>
      </w:r>
    </w:p>
    <w:p w:rsidR="00697787" w:rsidRPr="00DE398A" w:rsidRDefault="00697787" w:rsidP="002C121F">
      <w:pPr>
        <w:jc w:val="both"/>
        <w:rPr>
          <w:b/>
          <w:sz w:val="22"/>
          <w:szCs w:val="22"/>
        </w:rPr>
      </w:pPr>
    </w:p>
    <w:p w:rsidR="002C121F" w:rsidRPr="00DE398A" w:rsidRDefault="002C121F" w:rsidP="005C4655">
      <w:pPr>
        <w:ind w:firstLine="539"/>
        <w:jc w:val="both"/>
        <w:rPr>
          <w:bCs/>
          <w:sz w:val="22"/>
          <w:szCs w:val="22"/>
        </w:rPr>
      </w:pPr>
      <w:r w:rsidRPr="00DE398A">
        <w:rPr>
          <w:bCs/>
          <w:sz w:val="22"/>
          <w:szCs w:val="22"/>
          <w:lang w:eastAsia="uk-UA"/>
        </w:rPr>
        <w:t xml:space="preserve">Відповідальністю аудитора є висловлення думки щодо цієї фінансової звітності на основі результатів проведеного нами аудиту. Ми провели аудит відповідно до </w:t>
      </w:r>
      <w:r w:rsidR="005C4655" w:rsidRPr="00DE398A">
        <w:rPr>
          <w:sz w:val="22"/>
          <w:szCs w:val="22"/>
          <w:lang w:eastAsia="uk-UA"/>
        </w:rPr>
        <w:t>Міжнародних стандартів контролю якості, аудиту, огляду, іншого надання впевненості та супутніх послуг.</w:t>
      </w:r>
      <w:r w:rsidRPr="00DE398A">
        <w:rPr>
          <w:bCs/>
          <w:sz w:val="22"/>
          <w:szCs w:val="22"/>
          <w:lang w:eastAsia="uk-UA"/>
        </w:rPr>
        <w:t xml:space="preserve"> Ці стандарти вимагають від нас дотримання відповідних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2C121F" w:rsidRPr="00DE398A" w:rsidRDefault="002C121F" w:rsidP="002C121F">
      <w:pPr>
        <w:ind w:firstLine="539"/>
        <w:jc w:val="both"/>
        <w:rPr>
          <w:bCs/>
          <w:sz w:val="22"/>
          <w:szCs w:val="22"/>
        </w:rPr>
      </w:pPr>
      <w:r w:rsidRPr="00DE398A">
        <w:rPr>
          <w:bCs/>
          <w:sz w:val="22"/>
          <w:szCs w:val="22"/>
          <w:lang w:eastAsia="uk-UA"/>
        </w:rPr>
        <w:t>Аудит передбачає виконання аудиторських процедур для отримання аудиторських доказів щодо сум і розкриття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помилок. Виконуючи оцінку цих ризиків, аудитор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Аудит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фінансової звітності.</w:t>
      </w:r>
    </w:p>
    <w:p w:rsidR="002C121F" w:rsidRPr="00DE398A" w:rsidRDefault="002C121F" w:rsidP="002C121F">
      <w:pPr>
        <w:ind w:firstLine="539"/>
        <w:jc w:val="both"/>
        <w:rPr>
          <w:bCs/>
          <w:sz w:val="22"/>
          <w:szCs w:val="22"/>
          <w:lang w:eastAsia="uk-UA"/>
        </w:rPr>
      </w:pPr>
      <w:r w:rsidRPr="00DE398A">
        <w:rPr>
          <w:bCs/>
          <w:sz w:val="22"/>
          <w:szCs w:val="22"/>
          <w:lang w:eastAsia="uk-UA"/>
        </w:rPr>
        <w:t>Ми вважаємо, що отримали достатні та прийнятні аудиторські докази для висловлення нашої думки.</w:t>
      </w:r>
    </w:p>
    <w:p w:rsidR="002903B0" w:rsidRPr="00DE398A" w:rsidRDefault="002903B0" w:rsidP="002903B0">
      <w:pPr>
        <w:rPr>
          <w:b/>
          <w:iCs/>
          <w:sz w:val="22"/>
          <w:szCs w:val="22"/>
        </w:rPr>
      </w:pPr>
    </w:p>
    <w:p w:rsidR="00345B93" w:rsidRDefault="002903B0" w:rsidP="00345B93">
      <w:pPr>
        <w:widowControl w:val="0"/>
        <w:autoSpaceDE w:val="0"/>
        <w:autoSpaceDN w:val="0"/>
        <w:adjustRightInd w:val="0"/>
        <w:jc w:val="both"/>
        <w:rPr>
          <w:rFonts w:ascii="Times New Roman CYR" w:hAnsi="Times New Roman CYR" w:cs="Times New Roman CYR"/>
          <w:b/>
          <w:bCs/>
          <w:szCs w:val="24"/>
        </w:rPr>
      </w:pPr>
      <w:r w:rsidRPr="00DE398A">
        <w:rPr>
          <w:b/>
          <w:iCs/>
          <w:sz w:val="22"/>
          <w:szCs w:val="22"/>
        </w:rPr>
        <w:t xml:space="preserve">4. </w:t>
      </w:r>
      <w:r w:rsidR="00345B93">
        <w:rPr>
          <w:rFonts w:ascii="Times New Roman CYR" w:hAnsi="Times New Roman CYR" w:cs="Times New Roman CYR"/>
          <w:b/>
          <w:bCs/>
          <w:szCs w:val="24"/>
        </w:rPr>
        <w:t>Підстава для висловлення умовно-позитивної думки</w:t>
      </w:r>
    </w:p>
    <w:p w:rsidR="00697787" w:rsidRDefault="00697787" w:rsidP="00345B93">
      <w:pPr>
        <w:widowControl w:val="0"/>
        <w:autoSpaceDE w:val="0"/>
        <w:autoSpaceDN w:val="0"/>
        <w:adjustRightInd w:val="0"/>
        <w:jc w:val="both"/>
        <w:rPr>
          <w:rFonts w:ascii="Times New Roman CYR" w:hAnsi="Times New Roman CYR" w:cs="Times New Roman CYR"/>
          <w:szCs w:val="24"/>
        </w:rPr>
      </w:pPr>
    </w:p>
    <w:p w:rsidR="00345B93" w:rsidRPr="00345B93" w:rsidRDefault="00345B93" w:rsidP="00345B93">
      <w:pPr>
        <w:widowControl w:val="0"/>
        <w:autoSpaceDE w:val="0"/>
        <w:autoSpaceDN w:val="0"/>
        <w:adjustRightInd w:val="0"/>
        <w:ind w:firstLine="567"/>
        <w:jc w:val="both"/>
        <w:rPr>
          <w:sz w:val="22"/>
          <w:szCs w:val="22"/>
        </w:rPr>
      </w:pPr>
      <w:r w:rsidRPr="00345B93">
        <w:rPr>
          <w:sz w:val="22"/>
          <w:szCs w:val="22"/>
        </w:rPr>
        <w:t>Аудиторська перевірка звітності показала, що в основному звітність Товариства складена з врахуванням вимог Міжнародних станд</w:t>
      </w:r>
      <w:r w:rsidR="00D33400">
        <w:rPr>
          <w:sz w:val="22"/>
          <w:szCs w:val="22"/>
        </w:rPr>
        <w:t>артів фінансової звітності</w:t>
      </w:r>
      <w:r w:rsidR="00D33400" w:rsidRPr="00D33400">
        <w:rPr>
          <w:sz w:val="22"/>
          <w:szCs w:val="22"/>
        </w:rPr>
        <w:t>.</w:t>
      </w:r>
      <w:r w:rsidRPr="00345B93">
        <w:rPr>
          <w:sz w:val="22"/>
          <w:szCs w:val="22"/>
        </w:rPr>
        <w:t xml:space="preserve"> </w:t>
      </w:r>
    </w:p>
    <w:p w:rsidR="00697787" w:rsidRPr="00B57026" w:rsidRDefault="00697787" w:rsidP="00697787">
      <w:pPr>
        <w:pStyle w:val="a8"/>
        <w:jc w:val="both"/>
        <w:rPr>
          <w:szCs w:val="24"/>
        </w:rPr>
      </w:pPr>
      <w:bookmarkStart w:id="0" w:name="_GoBack"/>
      <w:bookmarkEnd w:id="0"/>
      <w:r w:rsidRPr="00B57026">
        <w:rPr>
          <w:szCs w:val="24"/>
        </w:rPr>
        <w:t>В зв’язку з обмеженням обсягу роботи аудитора, аудитор не мав змоги спостерігати за  інвентаризацією  запасів</w:t>
      </w:r>
      <w:r>
        <w:rPr>
          <w:szCs w:val="24"/>
        </w:rPr>
        <w:t xml:space="preserve"> на кінець звітного періоду. </w:t>
      </w:r>
    </w:p>
    <w:p w:rsidR="0019282C" w:rsidRPr="00D44FFD" w:rsidRDefault="00697787" w:rsidP="0019282C">
      <w:pPr>
        <w:ind w:firstLine="567"/>
        <w:jc w:val="both"/>
        <w:rPr>
          <w:szCs w:val="24"/>
        </w:rPr>
      </w:pPr>
      <w:r>
        <w:rPr>
          <w:szCs w:val="24"/>
        </w:rPr>
        <w:t>Розрахунок з</w:t>
      </w:r>
      <w:r w:rsidRPr="001D3499">
        <w:rPr>
          <w:szCs w:val="24"/>
        </w:rPr>
        <w:t>меншення корисності активів</w:t>
      </w:r>
      <w:r>
        <w:rPr>
          <w:szCs w:val="24"/>
        </w:rPr>
        <w:t xml:space="preserve">  при формування фінансової звітності не проводився.</w:t>
      </w:r>
    </w:p>
    <w:p w:rsidR="00697787" w:rsidRDefault="00697787" w:rsidP="00697787">
      <w:pPr>
        <w:pStyle w:val="a8"/>
        <w:jc w:val="both"/>
        <w:rPr>
          <w:szCs w:val="24"/>
        </w:rPr>
      </w:pPr>
      <w:r w:rsidRPr="00B57026">
        <w:rPr>
          <w:szCs w:val="24"/>
        </w:rPr>
        <w:t xml:space="preserve">Ми </w:t>
      </w:r>
      <w:r w:rsidRPr="006B2C7C">
        <w:rPr>
          <w:szCs w:val="24"/>
        </w:rPr>
        <w:t xml:space="preserve">звертаємо увагу на те, що фінансову звітність </w:t>
      </w:r>
      <w:r>
        <w:rPr>
          <w:szCs w:val="24"/>
        </w:rPr>
        <w:t>Ломбарду</w:t>
      </w:r>
      <w:r w:rsidRPr="006B2C7C">
        <w:rPr>
          <w:szCs w:val="24"/>
        </w:rPr>
        <w:t xml:space="preserve"> складено за формами, встановленими  </w:t>
      </w:r>
      <w:hyperlink r:id="rId10" w:history="1">
        <w:r w:rsidRPr="00697787">
          <w:rPr>
            <w:rStyle w:val="af4"/>
            <w:bCs/>
            <w:color w:val="auto"/>
            <w:szCs w:val="24"/>
            <w:u w:val="none"/>
          </w:rPr>
          <w:t>Національним положенням (стандартом) бухгалтерського обліку 1 «Загальні вимоги до фінансової звітності», затверджене наказом МФУ від 07.02.2013 р. № 73</w:t>
        </w:r>
      </w:hyperlink>
      <w:r w:rsidRPr="00697787">
        <w:rPr>
          <w:szCs w:val="24"/>
        </w:rPr>
        <w:t xml:space="preserve">, з урахуванням норм МСФЗ, які застосовуються щодо звітного </w:t>
      </w:r>
      <w:r w:rsidRPr="006B2C7C">
        <w:rPr>
          <w:szCs w:val="24"/>
        </w:rPr>
        <w:t>періоду, який закінчився 31.12.201</w:t>
      </w:r>
      <w:r>
        <w:rPr>
          <w:szCs w:val="24"/>
        </w:rPr>
        <w:t>5р.</w:t>
      </w:r>
    </w:p>
    <w:p w:rsidR="00BB1E97" w:rsidRDefault="00BB1E97" w:rsidP="00345B93">
      <w:pPr>
        <w:widowControl w:val="0"/>
        <w:autoSpaceDE w:val="0"/>
        <w:autoSpaceDN w:val="0"/>
        <w:adjustRightInd w:val="0"/>
        <w:jc w:val="both"/>
        <w:rPr>
          <w:rFonts w:ascii="Times New Roman CYR" w:hAnsi="Times New Roman CYR" w:cs="Times New Roman CYR"/>
          <w:b/>
          <w:bCs/>
          <w:szCs w:val="24"/>
        </w:rPr>
      </w:pPr>
    </w:p>
    <w:p w:rsidR="00345B93" w:rsidRDefault="00345B93" w:rsidP="00345B93">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b/>
          <w:bCs/>
          <w:szCs w:val="24"/>
        </w:rPr>
        <w:t>Висловлення умовно-позитивної думки</w:t>
      </w:r>
    </w:p>
    <w:p w:rsidR="002903B0" w:rsidRPr="00DE398A" w:rsidRDefault="002903B0" w:rsidP="005C4655">
      <w:pPr>
        <w:rPr>
          <w:b/>
          <w:bCs/>
          <w:iCs/>
          <w:sz w:val="22"/>
          <w:szCs w:val="22"/>
        </w:rPr>
      </w:pPr>
    </w:p>
    <w:p w:rsidR="00BB1E97" w:rsidRPr="00BB1E97" w:rsidRDefault="002C121F" w:rsidP="00BB1E97">
      <w:pPr>
        <w:suppressAutoHyphens w:val="0"/>
        <w:ind w:firstLine="539"/>
        <w:jc w:val="both"/>
        <w:rPr>
          <w:rFonts w:eastAsia="Calibri"/>
          <w:color w:val="000000"/>
          <w:szCs w:val="24"/>
          <w:lang w:eastAsia="ru-RU"/>
        </w:rPr>
      </w:pPr>
      <w:r w:rsidRPr="00BB1E97">
        <w:rPr>
          <w:bCs/>
          <w:szCs w:val="24"/>
          <w:lang w:eastAsia="uk-UA"/>
        </w:rPr>
        <w:t xml:space="preserve">На нашу думку, </w:t>
      </w:r>
      <w:r w:rsidR="00345B93" w:rsidRPr="00BB1E97">
        <w:rPr>
          <w:szCs w:val="24"/>
        </w:rPr>
        <w:t xml:space="preserve">за винятком впливу питання, викладеного у параграфі 4 «Підстава для висловлення умовно-позитивної думки», </w:t>
      </w:r>
      <w:r w:rsidR="005C4655" w:rsidRPr="00BB1E97">
        <w:rPr>
          <w:szCs w:val="24"/>
        </w:rPr>
        <w:t xml:space="preserve">фінансова звітність </w:t>
      </w:r>
      <w:r w:rsidR="00BB1E97" w:rsidRPr="00BB1E97">
        <w:rPr>
          <w:szCs w:val="24"/>
          <w:lang w:eastAsia="ru-RU"/>
        </w:rPr>
        <w:t>відображає достовірно в усіх суттєвих аспектах фінансовий стан</w:t>
      </w:r>
      <w:r w:rsidR="003D63F0">
        <w:rPr>
          <w:szCs w:val="24"/>
          <w:lang w:eastAsia="ru-RU"/>
        </w:rPr>
        <w:t xml:space="preserve"> </w:t>
      </w:r>
      <w:proofErr w:type="spellStart"/>
      <w:r w:rsidR="00C20E49" w:rsidRPr="00C20E49">
        <w:rPr>
          <w:b/>
          <w:szCs w:val="24"/>
          <w:lang w:val="ru-RU" w:eastAsia="ru-RU"/>
        </w:rPr>
        <w:t>п</w:t>
      </w:r>
      <w:r w:rsidR="003D63F0" w:rsidRPr="00C20E49">
        <w:rPr>
          <w:b/>
          <w:color w:val="000000"/>
          <w:spacing w:val="2"/>
          <w:sz w:val="22"/>
          <w:szCs w:val="22"/>
        </w:rPr>
        <w:t>овн</w:t>
      </w:r>
      <w:r w:rsidR="003D63F0" w:rsidRPr="009170A5">
        <w:rPr>
          <w:b/>
          <w:color w:val="000000"/>
          <w:spacing w:val="2"/>
          <w:sz w:val="22"/>
          <w:szCs w:val="22"/>
        </w:rPr>
        <w:t>ого</w:t>
      </w:r>
      <w:proofErr w:type="spellEnd"/>
      <w:r w:rsidR="003D63F0" w:rsidRPr="009170A5">
        <w:rPr>
          <w:b/>
          <w:color w:val="000000"/>
          <w:spacing w:val="2"/>
          <w:sz w:val="22"/>
          <w:szCs w:val="22"/>
        </w:rPr>
        <w:t xml:space="preserve"> товариства </w:t>
      </w:r>
      <w:r w:rsidR="003D63F0" w:rsidRPr="009170A5">
        <w:rPr>
          <w:b/>
          <w:bCs/>
          <w:szCs w:val="24"/>
        </w:rPr>
        <w:t xml:space="preserve">« Ломбард « </w:t>
      </w:r>
      <w:proofErr w:type="spellStart"/>
      <w:r w:rsidR="003D63F0" w:rsidRPr="009170A5">
        <w:rPr>
          <w:b/>
          <w:bCs/>
          <w:szCs w:val="24"/>
          <w:lang w:val="ru-RU"/>
        </w:rPr>
        <w:t>Шелегон</w:t>
      </w:r>
      <w:proofErr w:type="spellEnd"/>
      <w:r w:rsidR="003D63F0" w:rsidRPr="009170A5">
        <w:rPr>
          <w:b/>
          <w:bCs/>
          <w:szCs w:val="24"/>
          <w:lang w:val="ru-RU"/>
        </w:rPr>
        <w:t xml:space="preserve"> </w:t>
      </w:r>
      <w:r w:rsidR="003D63F0" w:rsidRPr="009170A5">
        <w:rPr>
          <w:b/>
          <w:szCs w:val="24"/>
        </w:rPr>
        <w:t xml:space="preserve"> і компанія »</w:t>
      </w:r>
      <w:r w:rsidR="005C4655" w:rsidRPr="00BB1E97">
        <w:rPr>
          <w:color w:val="000000"/>
          <w:spacing w:val="-3"/>
          <w:szCs w:val="24"/>
        </w:rPr>
        <w:t xml:space="preserve"> </w:t>
      </w:r>
      <w:r w:rsidR="005C4655" w:rsidRPr="00BB1E97">
        <w:rPr>
          <w:szCs w:val="24"/>
        </w:rPr>
        <w:t>станом на 31.12.201</w:t>
      </w:r>
      <w:r w:rsidR="00697787">
        <w:rPr>
          <w:szCs w:val="24"/>
        </w:rPr>
        <w:t>5</w:t>
      </w:r>
      <w:r w:rsidR="005C4655" w:rsidRPr="00BB1E97">
        <w:rPr>
          <w:szCs w:val="24"/>
        </w:rPr>
        <w:t xml:space="preserve"> року, </w:t>
      </w:r>
      <w:r w:rsidR="00BB1E97" w:rsidRPr="00BB1E97">
        <w:rPr>
          <w:rFonts w:eastAsia="Calibri"/>
          <w:color w:val="000000"/>
          <w:szCs w:val="24"/>
          <w:lang w:eastAsia="ru-RU"/>
        </w:rPr>
        <w:t xml:space="preserve">його фінансові результати і рух грошових коштів за рік, що закінчився на зазначену дату, відповідно до </w:t>
      </w:r>
      <w:r w:rsidR="00BB1E97" w:rsidRPr="00BB1E97">
        <w:rPr>
          <w:rFonts w:eastAsia="Calibri"/>
          <w:szCs w:val="24"/>
          <w:lang w:eastAsia="ru-RU"/>
        </w:rPr>
        <w:t xml:space="preserve">Міжнародних стандартів фінансової звітності. </w:t>
      </w:r>
    </w:p>
    <w:p w:rsidR="002903B0" w:rsidRPr="00DE398A" w:rsidRDefault="002903B0" w:rsidP="00BB1E97">
      <w:pPr>
        <w:ind w:firstLine="539"/>
        <w:jc w:val="both"/>
        <w:rPr>
          <w:b/>
          <w:bCs/>
          <w:iCs/>
          <w:sz w:val="22"/>
          <w:szCs w:val="22"/>
        </w:rPr>
      </w:pPr>
    </w:p>
    <w:p w:rsidR="005C4655" w:rsidRPr="00A52329" w:rsidRDefault="005C1CDE" w:rsidP="00A52329">
      <w:pPr>
        <w:jc w:val="both"/>
        <w:rPr>
          <w:b/>
          <w:bCs/>
          <w:sz w:val="22"/>
          <w:szCs w:val="22"/>
        </w:rPr>
      </w:pPr>
      <w:r w:rsidRPr="00DE398A">
        <w:rPr>
          <w:rStyle w:val="submenu-table"/>
          <w:b/>
          <w:bCs/>
          <w:i/>
          <w:iCs/>
          <w:sz w:val="22"/>
          <w:szCs w:val="22"/>
        </w:rPr>
        <w:lastRenderedPageBreak/>
        <w:t xml:space="preserve">Пояснювальний параграф </w:t>
      </w:r>
    </w:p>
    <w:p w:rsidR="00A54FBD" w:rsidRPr="00973FAE" w:rsidRDefault="00A54FBD" w:rsidP="005C4655">
      <w:pPr>
        <w:ind w:firstLine="567"/>
        <w:jc w:val="both"/>
        <w:rPr>
          <w:bCs/>
          <w:iCs/>
          <w:szCs w:val="24"/>
        </w:rPr>
      </w:pPr>
      <w:r w:rsidRPr="00973FAE">
        <w:rPr>
          <w:bCs/>
          <w:iCs/>
          <w:szCs w:val="24"/>
        </w:rPr>
        <w:t xml:space="preserve">Не вносячи додаткових застережень до цього висновку, привертаємо увагу на той факт, що незважаючи на стабілізаційні заходи, які вживаються Урядом України з метою підтримки </w:t>
      </w:r>
      <w:r w:rsidR="00A52329" w:rsidRPr="00973FAE">
        <w:rPr>
          <w:bCs/>
          <w:iCs/>
          <w:szCs w:val="24"/>
        </w:rPr>
        <w:t>економіки</w:t>
      </w:r>
      <w:r w:rsidRPr="00973FAE">
        <w:rPr>
          <w:bCs/>
          <w:iCs/>
          <w:szCs w:val="24"/>
        </w:rPr>
        <w:t>, існує невизначеність щодо впливу зовнішніх та внутрішніх факторів  на стабільність діяльності Товариства.</w:t>
      </w:r>
    </w:p>
    <w:p w:rsidR="00A54FBD" w:rsidRPr="00973FAE" w:rsidRDefault="00A54FBD" w:rsidP="005C4655">
      <w:pPr>
        <w:ind w:firstLine="567"/>
        <w:jc w:val="both"/>
        <w:rPr>
          <w:bCs/>
          <w:iCs/>
          <w:szCs w:val="24"/>
        </w:rPr>
      </w:pPr>
      <w:r w:rsidRPr="00973FAE">
        <w:rPr>
          <w:bCs/>
          <w:iCs/>
          <w:szCs w:val="24"/>
        </w:rPr>
        <w:t>Ми не маємо змоги передбачити можливі майбутні зміни у цих умовах та їх вплив на фінансовий стан Товариства.</w:t>
      </w:r>
    </w:p>
    <w:p w:rsidR="00A52329" w:rsidRPr="00DE398A" w:rsidRDefault="00A52329" w:rsidP="00B67B16">
      <w:pPr>
        <w:rPr>
          <w:b/>
          <w:sz w:val="22"/>
          <w:szCs w:val="22"/>
        </w:rPr>
      </w:pPr>
    </w:p>
    <w:p w:rsidR="00A52329" w:rsidRPr="00A52329" w:rsidRDefault="00A52329" w:rsidP="00A52329">
      <w:pPr>
        <w:jc w:val="center"/>
        <w:rPr>
          <w:b/>
          <w:iCs/>
          <w:sz w:val="22"/>
          <w:szCs w:val="22"/>
        </w:rPr>
      </w:pPr>
      <w:r w:rsidRPr="00A52329">
        <w:rPr>
          <w:b/>
          <w:iCs/>
          <w:sz w:val="22"/>
          <w:szCs w:val="22"/>
        </w:rPr>
        <w:t>ІІ. Звіт щодо вимог інших законодавчих і нормативних актів</w:t>
      </w:r>
    </w:p>
    <w:p w:rsidR="00196941" w:rsidRPr="00DE398A" w:rsidRDefault="00196941" w:rsidP="00060386">
      <w:pPr>
        <w:pStyle w:val="a8"/>
        <w:ind w:right="424" w:firstLine="0"/>
        <w:rPr>
          <w:b/>
          <w:sz w:val="22"/>
          <w:szCs w:val="22"/>
        </w:rPr>
      </w:pPr>
    </w:p>
    <w:p w:rsidR="00B67284" w:rsidRPr="00DE398A" w:rsidRDefault="00B67284" w:rsidP="00B67284">
      <w:pPr>
        <w:pStyle w:val="a8"/>
        <w:ind w:right="424" w:firstLine="0"/>
        <w:rPr>
          <w:b/>
          <w:sz w:val="22"/>
          <w:szCs w:val="22"/>
        </w:rPr>
      </w:pPr>
      <w:r w:rsidRPr="00DE398A">
        <w:rPr>
          <w:b/>
          <w:sz w:val="22"/>
          <w:szCs w:val="22"/>
        </w:rPr>
        <w:t>1.</w:t>
      </w:r>
      <w:r w:rsidR="00936032">
        <w:rPr>
          <w:b/>
          <w:sz w:val="22"/>
          <w:szCs w:val="22"/>
        </w:rPr>
        <w:t xml:space="preserve"> </w:t>
      </w:r>
      <w:r w:rsidRPr="00DE398A">
        <w:rPr>
          <w:b/>
          <w:sz w:val="22"/>
          <w:szCs w:val="22"/>
        </w:rPr>
        <w:t>Основні відомо</w:t>
      </w:r>
      <w:r w:rsidR="00060386">
        <w:rPr>
          <w:b/>
          <w:sz w:val="22"/>
          <w:szCs w:val="22"/>
        </w:rPr>
        <w:t>сті про аудиторську фірму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6151"/>
      </w:tblGrid>
      <w:tr w:rsidR="00B67284" w:rsidRPr="00DE398A">
        <w:trPr>
          <w:trHeight w:val="392"/>
        </w:trPr>
        <w:tc>
          <w:tcPr>
            <w:tcW w:w="4055" w:type="dxa"/>
          </w:tcPr>
          <w:p w:rsidR="00B67284" w:rsidRPr="00DE398A" w:rsidRDefault="00B67284"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E398A">
              <w:rPr>
                <w:sz w:val="22"/>
                <w:szCs w:val="22"/>
              </w:rPr>
              <w:t xml:space="preserve">Повне найменування </w:t>
            </w:r>
          </w:p>
          <w:p w:rsidR="00B67284" w:rsidRPr="00DE398A" w:rsidRDefault="00B67284"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E398A">
              <w:rPr>
                <w:sz w:val="22"/>
                <w:szCs w:val="22"/>
              </w:rPr>
              <w:t>юридичної особи</w:t>
            </w:r>
          </w:p>
        </w:tc>
        <w:tc>
          <w:tcPr>
            <w:tcW w:w="6151" w:type="dxa"/>
          </w:tcPr>
          <w:p w:rsidR="00B67284" w:rsidRPr="00DE398A" w:rsidRDefault="00B67284"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E398A">
              <w:rPr>
                <w:sz w:val="22"/>
                <w:szCs w:val="22"/>
              </w:rPr>
              <w:t>Товариство з обмеженою відповідальністю «Аудит-сервіс ІНК»</w:t>
            </w:r>
          </w:p>
        </w:tc>
      </w:tr>
      <w:tr w:rsidR="00B67284" w:rsidRPr="00DE398A">
        <w:tc>
          <w:tcPr>
            <w:tcW w:w="4055" w:type="dxa"/>
          </w:tcPr>
          <w:p w:rsidR="00B67284" w:rsidRPr="00DE398A" w:rsidRDefault="00B67284"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E398A">
              <w:rPr>
                <w:sz w:val="22"/>
                <w:szCs w:val="22"/>
              </w:rPr>
              <w:t>Код за ЄДРПОУ</w:t>
            </w:r>
          </w:p>
        </w:tc>
        <w:tc>
          <w:tcPr>
            <w:tcW w:w="6151" w:type="dxa"/>
          </w:tcPr>
          <w:p w:rsidR="00B67284" w:rsidRPr="00DE398A" w:rsidRDefault="00B67284"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E398A">
              <w:rPr>
                <w:sz w:val="22"/>
                <w:szCs w:val="22"/>
              </w:rPr>
              <w:t>13659226</w:t>
            </w:r>
          </w:p>
        </w:tc>
      </w:tr>
      <w:tr w:rsidR="00B67284" w:rsidRPr="00DE398A">
        <w:trPr>
          <w:trHeight w:val="249"/>
        </w:trPr>
        <w:tc>
          <w:tcPr>
            <w:tcW w:w="4055" w:type="dxa"/>
          </w:tcPr>
          <w:p w:rsidR="00B67284" w:rsidRPr="00DE398A" w:rsidRDefault="00B67284"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E398A">
              <w:rPr>
                <w:sz w:val="22"/>
                <w:szCs w:val="22"/>
              </w:rPr>
              <w:t>Місцезнаходження</w:t>
            </w:r>
          </w:p>
        </w:tc>
        <w:tc>
          <w:tcPr>
            <w:tcW w:w="6151" w:type="dxa"/>
          </w:tcPr>
          <w:p w:rsidR="00B67284" w:rsidRPr="00DE398A" w:rsidRDefault="00B67284"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smartTag w:uri="urn:schemas-microsoft-com:office:smarttags" w:element="metricconverter">
              <w:smartTagPr>
                <w:attr w:name="ProductID" w:val="76018, м"/>
              </w:smartTagPr>
              <w:r w:rsidRPr="00DE398A">
                <w:rPr>
                  <w:sz w:val="22"/>
                  <w:szCs w:val="22"/>
                </w:rPr>
                <w:t>76018, м</w:t>
              </w:r>
            </w:smartTag>
            <w:r w:rsidRPr="00DE398A">
              <w:rPr>
                <w:sz w:val="22"/>
                <w:szCs w:val="22"/>
              </w:rPr>
              <w:t>. Івано-Франківськ, вул. Б.Лепкого буд. 34 офіс 1</w:t>
            </w:r>
          </w:p>
        </w:tc>
      </w:tr>
      <w:tr w:rsidR="00B67284" w:rsidRPr="00DE398A">
        <w:tc>
          <w:tcPr>
            <w:tcW w:w="4055" w:type="dxa"/>
          </w:tcPr>
          <w:p w:rsidR="00B67284" w:rsidRPr="00DE398A" w:rsidRDefault="00B67284"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E398A">
              <w:rPr>
                <w:sz w:val="22"/>
                <w:szCs w:val="22"/>
              </w:rPr>
              <w:t>Реєстраційні дані</w:t>
            </w:r>
          </w:p>
        </w:tc>
        <w:tc>
          <w:tcPr>
            <w:tcW w:w="6151" w:type="dxa"/>
          </w:tcPr>
          <w:p w:rsidR="00B67284" w:rsidRPr="00DE398A" w:rsidRDefault="00B67284"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highlight w:val="yellow"/>
              </w:rPr>
            </w:pPr>
            <w:r w:rsidRPr="00DE398A">
              <w:rPr>
                <w:sz w:val="22"/>
                <w:szCs w:val="22"/>
              </w:rPr>
              <w:t>Витяг з Єдиного державного реєстру юридичних осіб та фізичних осіб-підприємців дата державної реєстрації 21.01.1994 р. № 10092151858</w:t>
            </w:r>
          </w:p>
        </w:tc>
      </w:tr>
      <w:tr w:rsidR="00B67284" w:rsidRPr="00DE398A">
        <w:trPr>
          <w:trHeight w:val="1035"/>
        </w:trPr>
        <w:tc>
          <w:tcPr>
            <w:tcW w:w="4055" w:type="dxa"/>
          </w:tcPr>
          <w:p w:rsidR="00B67284" w:rsidRPr="00DE398A" w:rsidRDefault="00B67284"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E398A">
              <w:rPr>
                <w:sz w:val="22"/>
                <w:szCs w:val="22"/>
              </w:rPr>
              <w:t>Номер та дата видачі Свідоцтва про внесення в Реєстр аудиторських фірм та аудиторів, які надають аудиторські послуги</w:t>
            </w:r>
          </w:p>
        </w:tc>
        <w:tc>
          <w:tcPr>
            <w:tcW w:w="6151" w:type="dxa"/>
          </w:tcPr>
          <w:p w:rsidR="00B67284" w:rsidRPr="00DE398A" w:rsidRDefault="00697787" w:rsidP="00315CE0">
            <w:pPr>
              <w:jc w:val="both"/>
              <w:rPr>
                <w:sz w:val="22"/>
                <w:szCs w:val="22"/>
              </w:rPr>
            </w:pPr>
            <w:r w:rsidRPr="004E7CA8">
              <w:rPr>
                <w:sz w:val="22"/>
                <w:szCs w:val="22"/>
              </w:rPr>
              <w:t xml:space="preserve">Свідоцтво про внесення до реєстру суб’єктів аудиторської діяльності №0036, </w:t>
            </w:r>
            <w:r w:rsidRPr="004E7CA8">
              <w:rPr>
                <w:lang w:eastAsia="ru-RU"/>
              </w:rPr>
              <w:t>продовжене рішенням Аудиторської палати України від 24 вересня  2015 року №315/3 чинне до 24.09.2020 р.</w:t>
            </w:r>
          </w:p>
        </w:tc>
      </w:tr>
      <w:tr w:rsidR="00697787" w:rsidRPr="00DE398A">
        <w:trPr>
          <w:trHeight w:val="450"/>
        </w:trPr>
        <w:tc>
          <w:tcPr>
            <w:tcW w:w="4055" w:type="dxa"/>
          </w:tcPr>
          <w:p w:rsidR="00697787" w:rsidRPr="00DE398A" w:rsidRDefault="00697787" w:rsidP="003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E398A">
              <w:rPr>
                <w:sz w:val="22"/>
                <w:szCs w:val="22"/>
              </w:rPr>
              <w:t>Свідоцтво про відповідність системи контролю якості</w:t>
            </w:r>
          </w:p>
        </w:tc>
        <w:tc>
          <w:tcPr>
            <w:tcW w:w="6151" w:type="dxa"/>
          </w:tcPr>
          <w:p w:rsidR="00697787" w:rsidRPr="00DE398A" w:rsidRDefault="00697787" w:rsidP="00E605D4">
            <w:pPr>
              <w:jc w:val="both"/>
              <w:rPr>
                <w:sz w:val="22"/>
                <w:szCs w:val="22"/>
              </w:rPr>
            </w:pPr>
            <w:r w:rsidRPr="00DE398A">
              <w:rPr>
                <w:sz w:val="22"/>
                <w:szCs w:val="22"/>
              </w:rPr>
              <w:t xml:space="preserve">Свідоцтво про відповідність системи контролю якості видане рішенням АПУ від </w:t>
            </w:r>
            <w:r>
              <w:rPr>
                <w:sz w:val="22"/>
                <w:szCs w:val="22"/>
              </w:rPr>
              <w:t>24.12</w:t>
            </w:r>
            <w:r w:rsidRPr="00DE398A">
              <w:rPr>
                <w:sz w:val="22"/>
                <w:szCs w:val="22"/>
              </w:rPr>
              <w:t>.20</w:t>
            </w:r>
            <w:r>
              <w:rPr>
                <w:sz w:val="22"/>
                <w:szCs w:val="22"/>
              </w:rPr>
              <w:t xml:space="preserve">14 </w:t>
            </w:r>
            <w:r w:rsidRPr="00DE398A">
              <w:rPr>
                <w:sz w:val="22"/>
                <w:szCs w:val="22"/>
              </w:rPr>
              <w:t>р.  №</w:t>
            </w:r>
            <w:r>
              <w:rPr>
                <w:sz w:val="22"/>
                <w:szCs w:val="22"/>
              </w:rPr>
              <w:t>304/4</w:t>
            </w:r>
          </w:p>
        </w:tc>
      </w:tr>
      <w:tr w:rsidR="00697787" w:rsidRPr="00DE398A">
        <w:trPr>
          <w:trHeight w:val="1329"/>
        </w:trPr>
        <w:tc>
          <w:tcPr>
            <w:tcW w:w="4055" w:type="dxa"/>
          </w:tcPr>
          <w:p w:rsidR="00697787" w:rsidRPr="00DE398A" w:rsidRDefault="00697787" w:rsidP="00315CE0">
            <w:pPr>
              <w:rPr>
                <w:sz w:val="22"/>
                <w:szCs w:val="22"/>
              </w:rPr>
            </w:pPr>
            <w:r w:rsidRPr="00DE398A">
              <w:rPr>
                <w:sz w:val="22"/>
                <w:szCs w:val="22"/>
              </w:rPr>
              <w:t>Номер та дата видачі Свідоцтва про включення до реєстру аудиторських фірм та аудиторів, які можуть проводити аудиторські перевірки фінансових установ</w:t>
            </w:r>
          </w:p>
        </w:tc>
        <w:tc>
          <w:tcPr>
            <w:tcW w:w="6151" w:type="dxa"/>
          </w:tcPr>
          <w:p w:rsidR="00697787" w:rsidRPr="004E7CA8" w:rsidRDefault="00697787" w:rsidP="00697787">
            <w:pPr>
              <w:jc w:val="both"/>
              <w:rPr>
                <w:lang w:eastAsia="ru-RU"/>
              </w:rPr>
            </w:pPr>
            <w:r w:rsidRPr="004E7CA8">
              <w:rPr>
                <w:lang w:eastAsia="ru-RU"/>
              </w:rPr>
              <w:t xml:space="preserve">Свідоцтво № 0107 </w:t>
            </w:r>
          </w:p>
          <w:p w:rsidR="00697787" w:rsidRPr="004E7CA8" w:rsidRDefault="00697787" w:rsidP="00697787">
            <w:pPr>
              <w:jc w:val="both"/>
              <w:rPr>
                <w:lang w:eastAsia="ru-RU"/>
              </w:rPr>
            </w:pPr>
            <w:r w:rsidRPr="004E7CA8">
              <w:rPr>
                <w:lang w:eastAsia="ru-RU"/>
              </w:rPr>
              <w:t xml:space="preserve">строк дії з 25.02.2014 р. до 04.11.2015 р.,  видане відповідно до розпорядження </w:t>
            </w:r>
            <w:proofErr w:type="spellStart"/>
            <w:r w:rsidRPr="004E7CA8">
              <w:rPr>
                <w:lang w:eastAsia="ru-RU"/>
              </w:rPr>
              <w:t>Нацкомфінпослуг</w:t>
            </w:r>
            <w:proofErr w:type="spellEnd"/>
            <w:r w:rsidRPr="004E7CA8">
              <w:rPr>
                <w:lang w:eastAsia="ru-RU"/>
              </w:rPr>
              <w:t xml:space="preserve"> від 25 лютого 2014р. №512</w:t>
            </w:r>
          </w:p>
          <w:p w:rsidR="00697787" w:rsidRPr="004C3D38" w:rsidRDefault="00697787" w:rsidP="00697787">
            <w:pPr>
              <w:rPr>
                <w:sz w:val="22"/>
                <w:szCs w:val="22"/>
              </w:rPr>
            </w:pPr>
            <w:r w:rsidRPr="004E7CA8">
              <w:rPr>
                <w:lang w:eastAsia="ru-RU"/>
              </w:rPr>
              <w:t xml:space="preserve">Строк дії продовжено до 24.09.2020 р. відповідно до розпорядження </w:t>
            </w:r>
            <w:proofErr w:type="spellStart"/>
            <w:r w:rsidRPr="004E7CA8">
              <w:rPr>
                <w:lang w:eastAsia="ru-RU"/>
              </w:rPr>
              <w:t>Нацкомфінпослуг</w:t>
            </w:r>
            <w:proofErr w:type="spellEnd"/>
            <w:r w:rsidRPr="004E7CA8">
              <w:rPr>
                <w:lang w:eastAsia="ru-RU"/>
              </w:rPr>
              <w:t xml:space="preserve"> від 19.11.2015 р. № 2818</w:t>
            </w:r>
          </w:p>
        </w:tc>
      </w:tr>
      <w:tr w:rsidR="00697787" w:rsidRPr="00DE398A">
        <w:tc>
          <w:tcPr>
            <w:tcW w:w="4055" w:type="dxa"/>
          </w:tcPr>
          <w:p w:rsidR="00697787" w:rsidRPr="00DE398A" w:rsidRDefault="00697787" w:rsidP="00315CE0">
            <w:pPr>
              <w:rPr>
                <w:sz w:val="22"/>
                <w:szCs w:val="22"/>
              </w:rPr>
            </w:pPr>
            <w:r w:rsidRPr="00DE398A">
              <w:rPr>
                <w:sz w:val="22"/>
                <w:szCs w:val="22"/>
              </w:rPr>
              <w:t>Керівник</w:t>
            </w:r>
          </w:p>
        </w:tc>
        <w:tc>
          <w:tcPr>
            <w:tcW w:w="6151" w:type="dxa"/>
          </w:tcPr>
          <w:p w:rsidR="00697787" w:rsidRPr="004E7CA8" w:rsidRDefault="00697787" w:rsidP="00E605D4">
            <w:pPr>
              <w:jc w:val="both"/>
              <w:rPr>
                <w:sz w:val="22"/>
                <w:szCs w:val="22"/>
              </w:rPr>
            </w:pPr>
            <w:proofErr w:type="spellStart"/>
            <w:r w:rsidRPr="004E7CA8">
              <w:rPr>
                <w:lang w:eastAsia="ru-RU"/>
              </w:rPr>
              <w:t>Хрипуненко</w:t>
            </w:r>
            <w:proofErr w:type="spellEnd"/>
            <w:r w:rsidRPr="004E7CA8">
              <w:rPr>
                <w:lang w:eastAsia="ru-RU"/>
              </w:rPr>
              <w:t xml:space="preserve"> Олександр Сергійович</w:t>
            </w:r>
          </w:p>
        </w:tc>
      </w:tr>
      <w:tr w:rsidR="00697787" w:rsidRPr="00DE398A">
        <w:tc>
          <w:tcPr>
            <w:tcW w:w="4055" w:type="dxa"/>
          </w:tcPr>
          <w:p w:rsidR="00697787" w:rsidRPr="00DE398A" w:rsidRDefault="00697787" w:rsidP="00315CE0">
            <w:pPr>
              <w:rPr>
                <w:sz w:val="22"/>
                <w:szCs w:val="22"/>
              </w:rPr>
            </w:pPr>
            <w:r w:rsidRPr="00DE398A">
              <w:rPr>
                <w:sz w:val="22"/>
                <w:szCs w:val="22"/>
              </w:rPr>
              <w:t>Інформація про аудиторів</w:t>
            </w:r>
          </w:p>
          <w:p w:rsidR="00697787" w:rsidRPr="00DE398A" w:rsidRDefault="00697787" w:rsidP="00315CE0">
            <w:pPr>
              <w:rPr>
                <w:sz w:val="22"/>
                <w:szCs w:val="22"/>
              </w:rPr>
            </w:pPr>
          </w:p>
          <w:p w:rsidR="00697787" w:rsidRPr="00DE398A" w:rsidRDefault="00697787" w:rsidP="00315CE0">
            <w:pPr>
              <w:rPr>
                <w:sz w:val="22"/>
                <w:szCs w:val="22"/>
              </w:rPr>
            </w:pPr>
          </w:p>
        </w:tc>
        <w:tc>
          <w:tcPr>
            <w:tcW w:w="6151" w:type="dxa"/>
          </w:tcPr>
          <w:p w:rsidR="00697787" w:rsidRDefault="00697787" w:rsidP="00E605D4">
            <w:pPr>
              <w:jc w:val="both"/>
              <w:rPr>
                <w:lang w:val="ru-RU" w:eastAsia="ru-RU"/>
              </w:rPr>
            </w:pPr>
            <w:r w:rsidRPr="00C20E49">
              <w:rPr>
                <w:b/>
                <w:lang w:eastAsia="ru-RU"/>
              </w:rPr>
              <w:t xml:space="preserve">Орлова Валентина </w:t>
            </w:r>
            <w:proofErr w:type="spellStart"/>
            <w:r w:rsidRPr="00C20E49">
              <w:rPr>
                <w:b/>
                <w:lang w:eastAsia="ru-RU"/>
              </w:rPr>
              <w:t>Кузьмінічна</w:t>
            </w:r>
            <w:proofErr w:type="spellEnd"/>
            <w:r w:rsidRPr="00CA4EF6">
              <w:rPr>
                <w:lang w:eastAsia="ru-RU"/>
              </w:rPr>
              <w:t xml:space="preserve"> – Директор по аудиту, сертифікат серія А № 000023, виданий рішенням АПУ від 23.12.1993 р., продовжений рішенням АПУ від 29.11.2012р. №261/2, чинний до 23 грудня 2017 року)</w:t>
            </w:r>
          </w:p>
          <w:p w:rsidR="00697787" w:rsidRDefault="00697787" w:rsidP="00E605D4">
            <w:pPr>
              <w:pStyle w:val="a8"/>
              <w:ind w:firstLine="0"/>
              <w:rPr>
                <w:lang w:val="ru-RU" w:eastAsia="ru-RU"/>
              </w:rPr>
            </w:pPr>
            <w:proofErr w:type="spellStart"/>
            <w:r w:rsidRPr="00C20E49">
              <w:rPr>
                <w:b/>
                <w:lang w:eastAsia="ru-RU"/>
              </w:rPr>
              <w:t>Хрипуненко</w:t>
            </w:r>
            <w:proofErr w:type="spellEnd"/>
            <w:r w:rsidRPr="00C20E49">
              <w:rPr>
                <w:b/>
                <w:lang w:eastAsia="ru-RU"/>
              </w:rPr>
              <w:t xml:space="preserve"> Олександр Сергійович</w:t>
            </w:r>
            <w:r w:rsidRPr="00CA4EF6">
              <w:rPr>
                <w:lang w:eastAsia="ru-RU"/>
              </w:rPr>
              <w:t xml:space="preserve"> – сертифікат серія А № 005083, виданий рішенням АПУ від 30.01.2002 р., №106, продовжений рішенням АПУ від 26 листопада 2015 р. №317/2, чинний до 30 січня 2021 року)</w:t>
            </w:r>
          </w:p>
          <w:p w:rsidR="00697787" w:rsidRPr="00EF0DD1" w:rsidRDefault="00697787" w:rsidP="00E605D4">
            <w:pPr>
              <w:pStyle w:val="a8"/>
              <w:ind w:firstLine="0"/>
              <w:rPr>
                <w:sz w:val="22"/>
                <w:szCs w:val="22"/>
              </w:rPr>
            </w:pPr>
            <w:proofErr w:type="spellStart"/>
            <w:r w:rsidRPr="00C20E49">
              <w:rPr>
                <w:b/>
                <w:sz w:val="22"/>
                <w:szCs w:val="22"/>
              </w:rPr>
              <w:t>Константинова</w:t>
            </w:r>
            <w:proofErr w:type="spellEnd"/>
            <w:r w:rsidRPr="00C20E49">
              <w:rPr>
                <w:b/>
                <w:sz w:val="22"/>
                <w:szCs w:val="22"/>
              </w:rPr>
              <w:t xml:space="preserve"> Ольга Миколаївна</w:t>
            </w:r>
            <w:r>
              <w:rPr>
                <w:sz w:val="22"/>
                <w:szCs w:val="22"/>
              </w:rPr>
              <w:t xml:space="preserve">  - аудитор,</w:t>
            </w:r>
            <w:r w:rsidRPr="00EF0DD1">
              <w:rPr>
                <w:sz w:val="22"/>
                <w:szCs w:val="22"/>
              </w:rPr>
              <w:t xml:space="preserve"> сертифікат  № 00</w:t>
            </w:r>
            <w:r>
              <w:rPr>
                <w:sz w:val="22"/>
                <w:szCs w:val="22"/>
              </w:rPr>
              <w:t>6491</w:t>
            </w:r>
            <w:r w:rsidRPr="00EF0DD1">
              <w:rPr>
                <w:sz w:val="22"/>
                <w:szCs w:val="22"/>
              </w:rPr>
              <w:t xml:space="preserve">, виданий рішенням АПУ від </w:t>
            </w:r>
            <w:r>
              <w:rPr>
                <w:sz w:val="22"/>
                <w:szCs w:val="22"/>
              </w:rPr>
              <w:t>18</w:t>
            </w:r>
            <w:r w:rsidRPr="00EF0DD1">
              <w:rPr>
                <w:sz w:val="22"/>
                <w:szCs w:val="22"/>
              </w:rPr>
              <w:t>.12.</w:t>
            </w:r>
            <w:r>
              <w:rPr>
                <w:sz w:val="22"/>
                <w:szCs w:val="22"/>
              </w:rPr>
              <w:t>2008</w:t>
            </w:r>
            <w:r w:rsidRPr="00EF0DD1">
              <w:rPr>
                <w:sz w:val="22"/>
                <w:szCs w:val="22"/>
              </w:rPr>
              <w:t xml:space="preserve"> р., продовжений рішенням АПУ від </w:t>
            </w:r>
            <w:r>
              <w:rPr>
                <w:sz w:val="22"/>
                <w:szCs w:val="22"/>
              </w:rPr>
              <w:t>31</w:t>
            </w:r>
            <w:r w:rsidRPr="00EF0DD1">
              <w:rPr>
                <w:sz w:val="22"/>
                <w:szCs w:val="22"/>
              </w:rPr>
              <w:t>.1</w:t>
            </w:r>
            <w:r>
              <w:rPr>
                <w:sz w:val="22"/>
                <w:szCs w:val="22"/>
              </w:rPr>
              <w:t>0</w:t>
            </w:r>
            <w:r w:rsidRPr="00EF0DD1">
              <w:rPr>
                <w:sz w:val="22"/>
                <w:szCs w:val="22"/>
              </w:rPr>
              <w:t>.201</w:t>
            </w:r>
            <w:r>
              <w:rPr>
                <w:sz w:val="22"/>
                <w:szCs w:val="22"/>
              </w:rPr>
              <w:t>3</w:t>
            </w:r>
            <w:r w:rsidRPr="00EF0DD1">
              <w:rPr>
                <w:sz w:val="22"/>
                <w:szCs w:val="22"/>
              </w:rPr>
              <w:t>р. №</w:t>
            </w:r>
            <w:r>
              <w:rPr>
                <w:sz w:val="22"/>
                <w:szCs w:val="22"/>
              </w:rPr>
              <w:t xml:space="preserve"> </w:t>
            </w:r>
            <w:r w:rsidRPr="00EF0DD1">
              <w:rPr>
                <w:sz w:val="22"/>
                <w:szCs w:val="22"/>
              </w:rPr>
              <w:t>2</w:t>
            </w:r>
            <w:r>
              <w:rPr>
                <w:sz w:val="22"/>
                <w:szCs w:val="22"/>
              </w:rPr>
              <w:t>81</w:t>
            </w:r>
            <w:r w:rsidRPr="00EF0DD1">
              <w:rPr>
                <w:sz w:val="22"/>
                <w:szCs w:val="22"/>
              </w:rPr>
              <w:t xml:space="preserve">/2, чинний до </w:t>
            </w:r>
            <w:r>
              <w:rPr>
                <w:sz w:val="22"/>
                <w:szCs w:val="22"/>
              </w:rPr>
              <w:t>18</w:t>
            </w:r>
            <w:r w:rsidRPr="00EF0DD1">
              <w:rPr>
                <w:sz w:val="22"/>
                <w:szCs w:val="22"/>
              </w:rPr>
              <w:t xml:space="preserve"> грудня 201</w:t>
            </w:r>
            <w:r>
              <w:rPr>
                <w:sz w:val="22"/>
                <w:szCs w:val="22"/>
              </w:rPr>
              <w:t>8</w:t>
            </w:r>
            <w:r w:rsidRPr="00EF0DD1">
              <w:rPr>
                <w:sz w:val="22"/>
                <w:szCs w:val="22"/>
              </w:rPr>
              <w:t xml:space="preserve"> року)</w:t>
            </w:r>
          </w:p>
        </w:tc>
      </w:tr>
      <w:tr w:rsidR="00697787" w:rsidRPr="00DE398A">
        <w:tc>
          <w:tcPr>
            <w:tcW w:w="4055" w:type="dxa"/>
          </w:tcPr>
          <w:p w:rsidR="00697787" w:rsidRPr="00DE398A" w:rsidRDefault="00697787" w:rsidP="00315CE0">
            <w:pPr>
              <w:rPr>
                <w:sz w:val="22"/>
                <w:szCs w:val="22"/>
              </w:rPr>
            </w:pPr>
            <w:r w:rsidRPr="00DE398A">
              <w:rPr>
                <w:sz w:val="22"/>
                <w:szCs w:val="22"/>
              </w:rPr>
              <w:t>Контактний телефон/факс</w:t>
            </w:r>
          </w:p>
        </w:tc>
        <w:tc>
          <w:tcPr>
            <w:tcW w:w="6151" w:type="dxa"/>
          </w:tcPr>
          <w:p w:rsidR="00697787" w:rsidRPr="00DE398A" w:rsidRDefault="00697787" w:rsidP="00315CE0">
            <w:pPr>
              <w:jc w:val="both"/>
              <w:rPr>
                <w:sz w:val="22"/>
                <w:szCs w:val="22"/>
              </w:rPr>
            </w:pPr>
            <w:r w:rsidRPr="00DE398A">
              <w:rPr>
                <w:sz w:val="22"/>
                <w:szCs w:val="22"/>
              </w:rPr>
              <w:t>(0</w:t>
            </w:r>
            <w:r w:rsidRPr="00DE398A">
              <w:rPr>
                <w:sz w:val="22"/>
                <w:szCs w:val="22"/>
                <w:lang w:val="en-US"/>
              </w:rPr>
              <w:t>342</w:t>
            </w:r>
            <w:r w:rsidRPr="00DE398A">
              <w:rPr>
                <w:sz w:val="22"/>
                <w:szCs w:val="22"/>
              </w:rPr>
              <w:t>) 75-05-</w:t>
            </w:r>
            <w:r w:rsidRPr="00DE398A">
              <w:rPr>
                <w:sz w:val="22"/>
                <w:szCs w:val="22"/>
                <w:lang w:val="en-US"/>
              </w:rPr>
              <w:t>0</w:t>
            </w:r>
            <w:r w:rsidRPr="00DE398A">
              <w:rPr>
                <w:sz w:val="22"/>
                <w:szCs w:val="22"/>
              </w:rPr>
              <w:t>1</w:t>
            </w:r>
          </w:p>
        </w:tc>
      </w:tr>
    </w:tbl>
    <w:p w:rsidR="00AA0634" w:rsidRPr="00DE398A" w:rsidRDefault="00AA0634" w:rsidP="00060386">
      <w:pPr>
        <w:pStyle w:val="a8"/>
        <w:spacing w:before="120" w:after="120"/>
        <w:ind w:right="425" w:firstLine="0"/>
        <w:jc w:val="both"/>
        <w:rPr>
          <w:sz w:val="22"/>
          <w:szCs w:val="22"/>
        </w:rPr>
      </w:pPr>
    </w:p>
    <w:p w:rsidR="00DB6E0E" w:rsidRPr="00DE398A" w:rsidRDefault="00B67284" w:rsidP="00B67284">
      <w:pPr>
        <w:pStyle w:val="a8"/>
        <w:spacing w:before="120" w:after="120"/>
        <w:ind w:right="425" w:firstLine="0"/>
        <w:rPr>
          <w:b/>
          <w:sz w:val="22"/>
          <w:szCs w:val="22"/>
        </w:rPr>
      </w:pPr>
      <w:r w:rsidRPr="00DE398A">
        <w:rPr>
          <w:b/>
          <w:sz w:val="22"/>
          <w:szCs w:val="22"/>
        </w:rPr>
        <w:t>2.</w:t>
      </w:r>
      <w:r w:rsidR="00936032">
        <w:rPr>
          <w:b/>
          <w:sz w:val="22"/>
          <w:szCs w:val="22"/>
        </w:rPr>
        <w:t xml:space="preserve"> </w:t>
      </w:r>
      <w:r w:rsidR="00DB6E0E" w:rsidRPr="00DE398A">
        <w:rPr>
          <w:b/>
          <w:sz w:val="22"/>
          <w:szCs w:val="22"/>
        </w:rPr>
        <w:t>Основні відомості про умови</w:t>
      </w:r>
      <w:r w:rsidR="00AA0634" w:rsidRPr="00DE398A">
        <w:rPr>
          <w:b/>
          <w:sz w:val="22"/>
          <w:szCs w:val="22"/>
        </w:rPr>
        <w:t xml:space="preserve"> договору про проведення аудиту</w:t>
      </w:r>
    </w:p>
    <w:p w:rsidR="00DB6E0E" w:rsidRPr="00316496" w:rsidRDefault="00DB6E0E" w:rsidP="00D95221">
      <w:pPr>
        <w:pStyle w:val="a8"/>
        <w:shd w:val="clear" w:color="auto" w:fill="FFFFFF"/>
        <w:ind w:right="424" w:firstLine="0"/>
        <w:rPr>
          <w:sz w:val="22"/>
          <w:szCs w:val="22"/>
          <w:lang w:val="ru-RU"/>
        </w:rPr>
      </w:pPr>
      <w:r w:rsidRPr="00316496">
        <w:rPr>
          <w:sz w:val="22"/>
          <w:szCs w:val="22"/>
        </w:rPr>
        <w:t>Договір на виконання аудиторських послуг</w:t>
      </w:r>
      <w:r w:rsidRPr="00316496">
        <w:rPr>
          <w:i/>
          <w:sz w:val="22"/>
          <w:szCs w:val="22"/>
        </w:rPr>
        <w:t xml:space="preserve">  </w:t>
      </w:r>
      <w:r w:rsidRPr="00316496">
        <w:rPr>
          <w:sz w:val="22"/>
          <w:szCs w:val="22"/>
        </w:rPr>
        <w:t xml:space="preserve">від </w:t>
      </w:r>
      <w:r w:rsidR="00316496" w:rsidRPr="00316496">
        <w:rPr>
          <w:sz w:val="22"/>
          <w:szCs w:val="22"/>
        </w:rPr>
        <w:t xml:space="preserve"> </w:t>
      </w:r>
      <w:r w:rsidR="00697787">
        <w:rPr>
          <w:sz w:val="22"/>
          <w:szCs w:val="22"/>
        </w:rPr>
        <w:t>25 січня</w:t>
      </w:r>
      <w:r w:rsidR="00316496" w:rsidRPr="00316496">
        <w:rPr>
          <w:sz w:val="22"/>
          <w:szCs w:val="22"/>
        </w:rPr>
        <w:t xml:space="preserve"> </w:t>
      </w:r>
      <w:r w:rsidR="00EA5F0E" w:rsidRPr="00316496">
        <w:rPr>
          <w:sz w:val="22"/>
          <w:szCs w:val="22"/>
        </w:rPr>
        <w:t xml:space="preserve"> </w:t>
      </w:r>
      <w:r w:rsidR="006B064C" w:rsidRPr="00316496">
        <w:rPr>
          <w:sz w:val="22"/>
          <w:szCs w:val="22"/>
        </w:rPr>
        <w:t>201</w:t>
      </w:r>
      <w:r w:rsidR="00EA5F0E" w:rsidRPr="00316496">
        <w:rPr>
          <w:sz w:val="22"/>
          <w:szCs w:val="22"/>
        </w:rPr>
        <w:t xml:space="preserve">5 </w:t>
      </w:r>
      <w:r w:rsidRPr="00316496">
        <w:rPr>
          <w:sz w:val="22"/>
          <w:szCs w:val="22"/>
        </w:rPr>
        <w:t>р. №</w:t>
      </w:r>
      <w:r w:rsidR="00A9261B" w:rsidRPr="00316496">
        <w:rPr>
          <w:sz w:val="22"/>
          <w:szCs w:val="22"/>
        </w:rPr>
        <w:t xml:space="preserve"> </w:t>
      </w:r>
      <w:r w:rsidR="001316D2">
        <w:rPr>
          <w:sz w:val="22"/>
          <w:szCs w:val="22"/>
          <w:lang w:val="ru-RU"/>
        </w:rPr>
        <w:t xml:space="preserve"> 39</w:t>
      </w:r>
      <w:r w:rsidR="00053E4C" w:rsidRPr="00316496">
        <w:rPr>
          <w:sz w:val="22"/>
          <w:szCs w:val="22"/>
          <w:lang w:val="ru-RU"/>
        </w:rPr>
        <w:t>.</w:t>
      </w:r>
    </w:p>
    <w:p w:rsidR="00DB6E0E" w:rsidRPr="00316496" w:rsidRDefault="00DB6E0E" w:rsidP="00B67284">
      <w:pPr>
        <w:pStyle w:val="a8"/>
        <w:shd w:val="clear" w:color="auto" w:fill="FFFFFF"/>
        <w:ind w:right="424" w:firstLine="0"/>
        <w:rPr>
          <w:sz w:val="22"/>
          <w:szCs w:val="22"/>
        </w:rPr>
      </w:pPr>
      <w:r w:rsidRPr="00316496">
        <w:rPr>
          <w:sz w:val="22"/>
          <w:szCs w:val="22"/>
        </w:rPr>
        <w:t xml:space="preserve">Період, яким охоплено проведення аудиту: з </w:t>
      </w:r>
      <w:r w:rsidR="00AB1E34" w:rsidRPr="00316496">
        <w:rPr>
          <w:sz w:val="22"/>
          <w:szCs w:val="22"/>
        </w:rPr>
        <w:t>01</w:t>
      </w:r>
      <w:r w:rsidRPr="00316496">
        <w:rPr>
          <w:sz w:val="22"/>
          <w:szCs w:val="22"/>
        </w:rPr>
        <w:t>.</w:t>
      </w:r>
      <w:r w:rsidR="008B7741" w:rsidRPr="00316496">
        <w:rPr>
          <w:sz w:val="22"/>
          <w:szCs w:val="22"/>
        </w:rPr>
        <w:t>0</w:t>
      </w:r>
      <w:r w:rsidR="00AB1E34" w:rsidRPr="00316496">
        <w:rPr>
          <w:sz w:val="22"/>
          <w:szCs w:val="22"/>
        </w:rPr>
        <w:t>1</w:t>
      </w:r>
      <w:r w:rsidRPr="00316496">
        <w:rPr>
          <w:sz w:val="22"/>
          <w:szCs w:val="22"/>
        </w:rPr>
        <w:t xml:space="preserve"> по 31.12.20</w:t>
      </w:r>
      <w:r w:rsidR="00A9261B" w:rsidRPr="00316496">
        <w:rPr>
          <w:sz w:val="22"/>
          <w:szCs w:val="22"/>
        </w:rPr>
        <w:t>1</w:t>
      </w:r>
      <w:r w:rsidR="00697787">
        <w:rPr>
          <w:sz w:val="22"/>
          <w:szCs w:val="22"/>
        </w:rPr>
        <w:t>5</w:t>
      </w:r>
      <w:r w:rsidRPr="00316496">
        <w:rPr>
          <w:sz w:val="22"/>
          <w:szCs w:val="22"/>
        </w:rPr>
        <w:t xml:space="preserve"> р. </w:t>
      </w:r>
    </w:p>
    <w:p w:rsidR="00DB6E0E" w:rsidRPr="00316496" w:rsidRDefault="00AB1E34" w:rsidP="00A851A3">
      <w:pPr>
        <w:pStyle w:val="a8"/>
        <w:shd w:val="clear" w:color="auto" w:fill="FFFFFF"/>
        <w:ind w:right="424" w:firstLine="0"/>
        <w:rPr>
          <w:sz w:val="22"/>
          <w:szCs w:val="22"/>
        </w:rPr>
      </w:pPr>
      <w:r w:rsidRPr="00316496">
        <w:rPr>
          <w:sz w:val="22"/>
          <w:szCs w:val="22"/>
        </w:rPr>
        <w:t xml:space="preserve">Аудит проведено  в період з </w:t>
      </w:r>
      <w:r w:rsidR="001316D2">
        <w:rPr>
          <w:sz w:val="22"/>
          <w:szCs w:val="22"/>
          <w:lang w:val="ru-RU"/>
        </w:rPr>
        <w:t xml:space="preserve"> 21 </w:t>
      </w:r>
      <w:proofErr w:type="spellStart"/>
      <w:r w:rsidR="001316D2">
        <w:rPr>
          <w:sz w:val="22"/>
          <w:szCs w:val="22"/>
          <w:lang w:val="ru-RU"/>
        </w:rPr>
        <w:t>березня</w:t>
      </w:r>
      <w:proofErr w:type="spellEnd"/>
      <w:r w:rsidR="001316D2">
        <w:rPr>
          <w:sz w:val="22"/>
          <w:szCs w:val="22"/>
          <w:lang w:val="ru-RU"/>
        </w:rPr>
        <w:t xml:space="preserve"> </w:t>
      </w:r>
      <w:r w:rsidR="006E100A" w:rsidRPr="00316496">
        <w:rPr>
          <w:sz w:val="22"/>
          <w:szCs w:val="22"/>
        </w:rPr>
        <w:t xml:space="preserve"> </w:t>
      </w:r>
      <w:r w:rsidR="007A51A6" w:rsidRPr="00316496">
        <w:rPr>
          <w:sz w:val="22"/>
          <w:szCs w:val="22"/>
        </w:rPr>
        <w:t xml:space="preserve">по </w:t>
      </w:r>
      <w:r w:rsidR="001316D2">
        <w:rPr>
          <w:sz w:val="22"/>
          <w:szCs w:val="22"/>
          <w:lang w:val="ru-RU"/>
        </w:rPr>
        <w:t xml:space="preserve"> 08 </w:t>
      </w:r>
      <w:r w:rsidR="00316496" w:rsidRPr="00316496">
        <w:rPr>
          <w:sz w:val="22"/>
          <w:szCs w:val="22"/>
        </w:rPr>
        <w:t xml:space="preserve"> квітня </w:t>
      </w:r>
      <w:r w:rsidR="00DB6E0E" w:rsidRPr="00316496">
        <w:rPr>
          <w:sz w:val="22"/>
          <w:szCs w:val="22"/>
        </w:rPr>
        <w:t xml:space="preserve"> </w:t>
      </w:r>
      <w:r w:rsidR="00F22ED6" w:rsidRPr="00316496">
        <w:rPr>
          <w:sz w:val="22"/>
          <w:szCs w:val="22"/>
        </w:rPr>
        <w:t>20</w:t>
      </w:r>
      <w:r w:rsidR="006B064C" w:rsidRPr="00316496">
        <w:rPr>
          <w:sz w:val="22"/>
          <w:szCs w:val="22"/>
        </w:rPr>
        <w:t>1</w:t>
      </w:r>
      <w:r w:rsidR="00697787">
        <w:rPr>
          <w:sz w:val="22"/>
          <w:szCs w:val="22"/>
        </w:rPr>
        <w:t>6</w:t>
      </w:r>
      <w:r w:rsidR="00440542" w:rsidRPr="00316496">
        <w:rPr>
          <w:sz w:val="22"/>
          <w:szCs w:val="22"/>
        </w:rPr>
        <w:t xml:space="preserve"> </w:t>
      </w:r>
      <w:r w:rsidR="00DB6E0E" w:rsidRPr="00316496">
        <w:rPr>
          <w:sz w:val="22"/>
          <w:szCs w:val="22"/>
        </w:rPr>
        <w:t>р.</w:t>
      </w:r>
    </w:p>
    <w:p w:rsidR="000B4BD2" w:rsidRPr="003D63F0" w:rsidRDefault="000B4BD2" w:rsidP="00E343C9">
      <w:pPr>
        <w:jc w:val="both"/>
        <w:rPr>
          <w:b/>
          <w:iCs/>
          <w:color w:val="FF0000"/>
          <w:spacing w:val="2"/>
          <w:sz w:val="22"/>
          <w:szCs w:val="22"/>
        </w:rPr>
      </w:pPr>
    </w:p>
    <w:p w:rsidR="00861D60" w:rsidRPr="00DE398A" w:rsidRDefault="00B67284" w:rsidP="00E343C9">
      <w:pPr>
        <w:jc w:val="both"/>
        <w:rPr>
          <w:iCs/>
          <w:sz w:val="22"/>
          <w:szCs w:val="22"/>
        </w:rPr>
      </w:pPr>
      <w:r w:rsidRPr="00DE398A">
        <w:rPr>
          <w:b/>
          <w:iCs/>
          <w:color w:val="000000"/>
          <w:spacing w:val="2"/>
          <w:sz w:val="22"/>
          <w:szCs w:val="22"/>
        </w:rPr>
        <w:t>3. Опис аудиторської перевірки</w:t>
      </w:r>
    </w:p>
    <w:p w:rsidR="000B4BD2" w:rsidRPr="00DE398A" w:rsidRDefault="000B4BD2" w:rsidP="000B4BD2">
      <w:pPr>
        <w:pStyle w:val="af"/>
        <w:ind w:firstLine="540"/>
        <w:jc w:val="both"/>
        <w:rPr>
          <w:sz w:val="22"/>
          <w:szCs w:val="22"/>
        </w:rPr>
      </w:pPr>
      <w:r w:rsidRPr="00DE398A">
        <w:rPr>
          <w:sz w:val="22"/>
          <w:szCs w:val="22"/>
        </w:rPr>
        <w:t>Цей висновок підготовлено на підставі інформації, отриманої під час аудиторської перевірки вищевказаної звітності та у відповідності з вимогами:</w:t>
      </w:r>
    </w:p>
    <w:p w:rsidR="000B4BD2" w:rsidRPr="00DE398A" w:rsidRDefault="000B4BD2" w:rsidP="000B4BD2">
      <w:pPr>
        <w:numPr>
          <w:ilvl w:val="0"/>
          <w:numId w:val="12"/>
        </w:numPr>
        <w:ind w:left="0" w:firstLine="540"/>
        <w:jc w:val="both"/>
        <w:rPr>
          <w:sz w:val="22"/>
          <w:szCs w:val="22"/>
        </w:rPr>
      </w:pPr>
      <w:r w:rsidRPr="00DE398A">
        <w:rPr>
          <w:sz w:val="22"/>
          <w:szCs w:val="22"/>
        </w:rPr>
        <w:lastRenderedPageBreak/>
        <w:t>Закону України «Про фінансові послуги та державне регулювання ринків фінансових послуг» від 12.07.2001р. №2664-ІІІ;</w:t>
      </w:r>
    </w:p>
    <w:p w:rsidR="000B4BD2" w:rsidRPr="00DE398A" w:rsidRDefault="000B4BD2" w:rsidP="000B4BD2">
      <w:pPr>
        <w:numPr>
          <w:ilvl w:val="0"/>
          <w:numId w:val="12"/>
        </w:numPr>
        <w:ind w:left="0" w:firstLine="540"/>
        <w:jc w:val="both"/>
        <w:rPr>
          <w:sz w:val="22"/>
          <w:szCs w:val="22"/>
        </w:rPr>
      </w:pPr>
      <w:r w:rsidRPr="00DE398A">
        <w:rPr>
          <w:sz w:val="22"/>
          <w:szCs w:val="22"/>
        </w:rPr>
        <w:t xml:space="preserve">Закону України «Про бухгалтерський облік та фінансову звітність в Україні» від 16.07.1999 р. № 996–ХIV; </w:t>
      </w:r>
    </w:p>
    <w:p w:rsidR="000B4BD2" w:rsidRPr="00DE398A" w:rsidRDefault="000B4BD2" w:rsidP="000B4BD2">
      <w:pPr>
        <w:numPr>
          <w:ilvl w:val="0"/>
          <w:numId w:val="12"/>
        </w:numPr>
        <w:ind w:left="0" w:firstLine="540"/>
        <w:jc w:val="both"/>
        <w:rPr>
          <w:sz w:val="22"/>
          <w:szCs w:val="22"/>
        </w:rPr>
      </w:pPr>
      <w:r w:rsidRPr="00DE398A">
        <w:rPr>
          <w:sz w:val="22"/>
          <w:szCs w:val="22"/>
        </w:rPr>
        <w:t>Закону України «Про аудиторську діяльність» (в редакції Закону від 14.09.2006 р. №140-</w:t>
      </w:r>
      <w:r w:rsidRPr="00DE398A">
        <w:rPr>
          <w:sz w:val="22"/>
          <w:szCs w:val="22"/>
          <w:lang w:val="en-US"/>
        </w:rPr>
        <w:t>V</w:t>
      </w:r>
      <w:r w:rsidRPr="00DE398A">
        <w:rPr>
          <w:sz w:val="22"/>
          <w:szCs w:val="22"/>
        </w:rPr>
        <w:t>);</w:t>
      </w:r>
    </w:p>
    <w:p w:rsidR="000B4BD2" w:rsidRDefault="000B4BD2" w:rsidP="000B4BD2">
      <w:pPr>
        <w:numPr>
          <w:ilvl w:val="0"/>
          <w:numId w:val="12"/>
        </w:numPr>
        <w:ind w:left="0" w:firstLine="540"/>
        <w:jc w:val="both"/>
        <w:rPr>
          <w:sz w:val="22"/>
          <w:szCs w:val="22"/>
        </w:rPr>
      </w:pPr>
      <w:r w:rsidRPr="00DE398A">
        <w:rPr>
          <w:sz w:val="22"/>
          <w:szCs w:val="22"/>
        </w:rPr>
        <w:t>Положення про Державну комісію з регулювання ринків фінансових послуг України, затвердженого Указом Президента України від 04.04.2003</w:t>
      </w:r>
      <w:r w:rsidR="00B71756" w:rsidRPr="00DE398A">
        <w:rPr>
          <w:sz w:val="22"/>
          <w:szCs w:val="22"/>
        </w:rPr>
        <w:t xml:space="preserve"> </w:t>
      </w:r>
      <w:r w:rsidRPr="00DE398A">
        <w:rPr>
          <w:sz w:val="22"/>
          <w:szCs w:val="22"/>
        </w:rPr>
        <w:t>р. №292</w:t>
      </w:r>
      <w:r w:rsidR="00CA1134">
        <w:rPr>
          <w:sz w:val="22"/>
          <w:szCs w:val="22"/>
        </w:rPr>
        <w:t>;</w:t>
      </w:r>
    </w:p>
    <w:p w:rsidR="00CA1134" w:rsidRPr="00CA1134" w:rsidRDefault="00CA1134" w:rsidP="000B4BD2">
      <w:pPr>
        <w:numPr>
          <w:ilvl w:val="0"/>
          <w:numId w:val="12"/>
        </w:numPr>
        <w:ind w:left="0" w:firstLine="540"/>
        <w:jc w:val="both"/>
        <w:rPr>
          <w:sz w:val="22"/>
          <w:szCs w:val="22"/>
        </w:rPr>
      </w:pPr>
      <w:r w:rsidRPr="00CA1134">
        <w:rPr>
          <w:sz w:val="22"/>
          <w:szCs w:val="22"/>
        </w:rPr>
        <w:t>Методичних рекомендацій, щодо форматів аудиторських висновків, затверджених рішенням Аудиторської палати України від 02.03.2006 р. № 160/5;</w:t>
      </w:r>
    </w:p>
    <w:p w:rsidR="000B4BD2" w:rsidRPr="00EF0DD1" w:rsidRDefault="000B4BD2" w:rsidP="000B4BD2">
      <w:pPr>
        <w:pStyle w:val="af"/>
        <w:numPr>
          <w:ilvl w:val="0"/>
          <w:numId w:val="12"/>
        </w:numPr>
        <w:tabs>
          <w:tab w:val="num" w:pos="900"/>
        </w:tabs>
        <w:spacing w:after="0"/>
        <w:ind w:left="0" w:firstLine="540"/>
        <w:jc w:val="both"/>
        <w:rPr>
          <w:sz w:val="22"/>
          <w:szCs w:val="22"/>
        </w:rPr>
      </w:pPr>
      <w:r w:rsidRPr="00EF0DD1">
        <w:rPr>
          <w:sz w:val="22"/>
          <w:szCs w:val="22"/>
        </w:rPr>
        <w:t xml:space="preserve">інших нормативно-правових актів, які регламентують відносини, що виникають у сфері надання фінансових послуг та нормативно-правових актів </w:t>
      </w:r>
      <w:proofErr w:type="spellStart"/>
      <w:r w:rsidRPr="00EF0DD1">
        <w:rPr>
          <w:sz w:val="22"/>
          <w:szCs w:val="22"/>
        </w:rPr>
        <w:t>Держ</w:t>
      </w:r>
      <w:r w:rsidR="00EF0DD1">
        <w:rPr>
          <w:sz w:val="22"/>
          <w:szCs w:val="22"/>
        </w:rPr>
        <w:t>фінмоніторингу</w:t>
      </w:r>
      <w:proofErr w:type="spellEnd"/>
      <w:r w:rsidR="00EF0DD1">
        <w:rPr>
          <w:sz w:val="22"/>
          <w:szCs w:val="22"/>
        </w:rPr>
        <w:t xml:space="preserve">, </w:t>
      </w:r>
      <w:proofErr w:type="spellStart"/>
      <w:r w:rsidR="00EF0DD1">
        <w:rPr>
          <w:sz w:val="22"/>
          <w:szCs w:val="22"/>
        </w:rPr>
        <w:t>Нацкомфінпослуг</w:t>
      </w:r>
      <w:proofErr w:type="spellEnd"/>
      <w:r w:rsidR="00EF0DD1" w:rsidRPr="00EF0DD1">
        <w:rPr>
          <w:sz w:val="22"/>
          <w:szCs w:val="22"/>
        </w:rPr>
        <w:t>.</w:t>
      </w:r>
    </w:p>
    <w:p w:rsidR="00316496" w:rsidRPr="004C3D38" w:rsidRDefault="00316496" w:rsidP="004C3D38">
      <w:pPr>
        <w:ind w:firstLine="540"/>
        <w:jc w:val="both"/>
        <w:rPr>
          <w:sz w:val="22"/>
          <w:szCs w:val="22"/>
        </w:rPr>
      </w:pPr>
      <w:r w:rsidRPr="004C3D38">
        <w:rPr>
          <w:sz w:val="22"/>
          <w:szCs w:val="22"/>
        </w:rPr>
        <w:t>При проведенні аудиту використовувались :</w:t>
      </w:r>
    </w:p>
    <w:p w:rsidR="00316496" w:rsidRPr="004C3D38" w:rsidRDefault="004C3D38" w:rsidP="004C3D38">
      <w:pPr>
        <w:ind w:firstLine="540"/>
        <w:jc w:val="both"/>
        <w:rPr>
          <w:sz w:val="22"/>
          <w:szCs w:val="22"/>
        </w:rPr>
      </w:pPr>
      <w:r>
        <w:rPr>
          <w:sz w:val="22"/>
          <w:szCs w:val="22"/>
        </w:rPr>
        <w:t xml:space="preserve">   </w:t>
      </w:r>
      <w:r w:rsidR="00316496" w:rsidRPr="004C3D38">
        <w:rPr>
          <w:sz w:val="22"/>
          <w:szCs w:val="22"/>
        </w:rPr>
        <w:t>1.Установчі документи;</w:t>
      </w:r>
    </w:p>
    <w:p w:rsidR="00316496" w:rsidRPr="00316496" w:rsidRDefault="00316496" w:rsidP="00316496">
      <w:pPr>
        <w:pStyle w:val="af3"/>
        <w:jc w:val="both"/>
        <w:rPr>
          <w:szCs w:val="24"/>
        </w:rPr>
      </w:pPr>
      <w:r w:rsidRPr="00316496">
        <w:rPr>
          <w:sz w:val="22"/>
          <w:szCs w:val="22"/>
        </w:rPr>
        <w:t>2.</w:t>
      </w:r>
      <w:r w:rsidRPr="00316496">
        <w:rPr>
          <w:szCs w:val="24"/>
        </w:rPr>
        <w:t>Виписка з Єдиного державного реєстру юридичних осіб та фізичних осіб</w:t>
      </w:r>
      <w:r>
        <w:rPr>
          <w:szCs w:val="24"/>
        </w:rPr>
        <w:t xml:space="preserve"> </w:t>
      </w:r>
      <w:r w:rsidRPr="00316496">
        <w:rPr>
          <w:szCs w:val="24"/>
        </w:rPr>
        <w:t xml:space="preserve">- підприємців </w:t>
      </w:r>
      <w:r w:rsidR="00FD002F">
        <w:rPr>
          <w:szCs w:val="24"/>
        </w:rPr>
        <w:t>видана 26.05.2014 року  - дата державної реєстрації 15.10.1999 року, 13.03.2008 року за № 1 038 120 0000 005133.</w:t>
      </w:r>
      <w:r w:rsidRPr="00316496">
        <w:rPr>
          <w:szCs w:val="24"/>
        </w:rPr>
        <w:t xml:space="preserve"> </w:t>
      </w:r>
    </w:p>
    <w:p w:rsidR="00316496" w:rsidRPr="00316496" w:rsidRDefault="00316496" w:rsidP="00316496">
      <w:pPr>
        <w:pStyle w:val="af3"/>
        <w:jc w:val="both"/>
        <w:rPr>
          <w:sz w:val="22"/>
          <w:szCs w:val="22"/>
        </w:rPr>
      </w:pPr>
      <w:r w:rsidRPr="00316496">
        <w:rPr>
          <w:sz w:val="22"/>
          <w:szCs w:val="22"/>
        </w:rPr>
        <w:t>3.Свідоцтво про реєстрацію фінансової установи серії ЛД № 186  від 09.12.2004 р., реєстраційний номер 15101306,  код фінансової установи  15;</w:t>
      </w:r>
    </w:p>
    <w:p w:rsidR="00316496" w:rsidRPr="00316496" w:rsidRDefault="00316496" w:rsidP="00316496">
      <w:pPr>
        <w:pStyle w:val="af3"/>
        <w:jc w:val="both"/>
        <w:rPr>
          <w:sz w:val="22"/>
          <w:szCs w:val="22"/>
        </w:rPr>
      </w:pPr>
      <w:r w:rsidRPr="00316496">
        <w:rPr>
          <w:sz w:val="22"/>
          <w:szCs w:val="22"/>
        </w:rPr>
        <w:t>4.Первинні документи за період з 01.01 по 31.12.201</w:t>
      </w:r>
      <w:r w:rsidR="00697787">
        <w:rPr>
          <w:sz w:val="22"/>
          <w:szCs w:val="22"/>
        </w:rPr>
        <w:t>5</w:t>
      </w:r>
      <w:r w:rsidRPr="00316496">
        <w:rPr>
          <w:sz w:val="22"/>
          <w:szCs w:val="22"/>
        </w:rPr>
        <w:t xml:space="preserve"> р.;</w:t>
      </w:r>
    </w:p>
    <w:p w:rsidR="00316496" w:rsidRPr="00316496" w:rsidRDefault="00316496" w:rsidP="00316496">
      <w:pPr>
        <w:pStyle w:val="af3"/>
        <w:jc w:val="both"/>
        <w:rPr>
          <w:sz w:val="22"/>
          <w:szCs w:val="22"/>
        </w:rPr>
      </w:pPr>
      <w:r w:rsidRPr="00316496">
        <w:rPr>
          <w:sz w:val="22"/>
          <w:szCs w:val="22"/>
        </w:rPr>
        <w:t>5.Журнали операцій по всіх рахунках бухгалтерського обліку за період з 01.01 по 31.12.1</w:t>
      </w:r>
      <w:r w:rsidR="00697787">
        <w:rPr>
          <w:sz w:val="22"/>
          <w:szCs w:val="22"/>
        </w:rPr>
        <w:t>5</w:t>
      </w:r>
      <w:r w:rsidRPr="00316496">
        <w:rPr>
          <w:sz w:val="22"/>
          <w:szCs w:val="22"/>
        </w:rPr>
        <w:t>р.;</w:t>
      </w:r>
    </w:p>
    <w:p w:rsidR="00316496" w:rsidRPr="00316496" w:rsidRDefault="00316496" w:rsidP="00316496">
      <w:pPr>
        <w:pStyle w:val="af3"/>
        <w:jc w:val="both"/>
        <w:rPr>
          <w:sz w:val="22"/>
          <w:szCs w:val="22"/>
        </w:rPr>
      </w:pPr>
      <w:r w:rsidRPr="00316496">
        <w:rPr>
          <w:sz w:val="22"/>
          <w:szCs w:val="22"/>
        </w:rPr>
        <w:t>6.Головна книга за 201</w:t>
      </w:r>
      <w:r w:rsidR="00697787">
        <w:rPr>
          <w:sz w:val="22"/>
          <w:szCs w:val="22"/>
        </w:rPr>
        <w:t>5</w:t>
      </w:r>
      <w:r w:rsidRPr="00316496">
        <w:rPr>
          <w:sz w:val="22"/>
          <w:szCs w:val="22"/>
        </w:rPr>
        <w:t xml:space="preserve"> р.;</w:t>
      </w:r>
    </w:p>
    <w:p w:rsidR="00316496" w:rsidRPr="00316496" w:rsidRDefault="00316496" w:rsidP="00316496">
      <w:pPr>
        <w:pStyle w:val="af3"/>
        <w:jc w:val="both"/>
        <w:rPr>
          <w:sz w:val="22"/>
          <w:szCs w:val="22"/>
        </w:rPr>
      </w:pPr>
      <w:r w:rsidRPr="00316496">
        <w:rPr>
          <w:sz w:val="22"/>
          <w:szCs w:val="22"/>
        </w:rPr>
        <w:t>7.Фінансова звітність за 201</w:t>
      </w:r>
      <w:r w:rsidR="00E00A6A">
        <w:rPr>
          <w:sz w:val="22"/>
          <w:szCs w:val="22"/>
        </w:rPr>
        <w:t>5</w:t>
      </w:r>
      <w:r w:rsidRPr="00316496">
        <w:rPr>
          <w:sz w:val="22"/>
          <w:szCs w:val="22"/>
        </w:rPr>
        <w:t xml:space="preserve"> р.</w:t>
      </w:r>
      <w:r w:rsidR="004C3D38">
        <w:rPr>
          <w:sz w:val="22"/>
          <w:szCs w:val="22"/>
        </w:rPr>
        <w:t xml:space="preserve"> </w:t>
      </w:r>
    </w:p>
    <w:p w:rsidR="00FF5C07" w:rsidRPr="00DE398A" w:rsidRDefault="00FF5C07" w:rsidP="00AA0634">
      <w:pPr>
        <w:pStyle w:val="a9"/>
        <w:tabs>
          <w:tab w:val="clear" w:pos="4153"/>
          <w:tab w:val="clear" w:pos="8306"/>
        </w:tabs>
        <w:rPr>
          <w:b/>
          <w:sz w:val="22"/>
          <w:szCs w:val="22"/>
        </w:rPr>
      </w:pPr>
    </w:p>
    <w:p w:rsidR="00296070" w:rsidRPr="00DE398A" w:rsidRDefault="00B71756" w:rsidP="00B71756">
      <w:pPr>
        <w:pStyle w:val="a9"/>
        <w:tabs>
          <w:tab w:val="clear" w:pos="4153"/>
          <w:tab w:val="clear" w:pos="8306"/>
        </w:tabs>
        <w:rPr>
          <w:b/>
          <w:sz w:val="22"/>
          <w:szCs w:val="22"/>
        </w:rPr>
      </w:pPr>
      <w:r w:rsidRPr="00DE398A">
        <w:rPr>
          <w:b/>
          <w:sz w:val="22"/>
          <w:szCs w:val="22"/>
        </w:rPr>
        <w:t>4.</w:t>
      </w:r>
      <w:r w:rsidR="00936032">
        <w:rPr>
          <w:b/>
          <w:sz w:val="22"/>
          <w:szCs w:val="22"/>
        </w:rPr>
        <w:t xml:space="preserve"> </w:t>
      </w:r>
      <w:r w:rsidR="00296070" w:rsidRPr="00DE398A">
        <w:rPr>
          <w:b/>
          <w:sz w:val="22"/>
          <w:szCs w:val="22"/>
        </w:rPr>
        <w:t>Повнота та відповідність фінансової звітності но</w:t>
      </w:r>
      <w:r w:rsidR="00AA0634" w:rsidRPr="00DE398A">
        <w:rPr>
          <w:b/>
          <w:sz w:val="22"/>
          <w:szCs w:val="22"/>
        </w:rPr>
        <w:t>рмативам бухгалтерського обліку</w:t>
      </w:r>
    </w:p>
    <w:p w:rsidR="002903B0" w:rsidRPr="00DE398A" w:rsidRDefault="002903B0" w:rsidP="00BE28A2">
      <w:pPr>
        <w:pStyle w:val="a9"/>
        <w:tabs>
          <w:tab w:val="clear" w:pos="4153"/>
          <w:tab w:val="clear" w:pos="8306"/>
        </w:tabs>
        <w:ind w:firstLine="567"/>
        <w:jc w:val="both"/>
        <w:rPr>
          <w:sz w:val="22"/>
          <w:szCs w:val="22"/>
        </w:rPr>
      </w:pPr>
      <w:r w:rsidRPr="00DE398A">
        <w:rPr>
          <w:sz w:val="22"/>
          <w:szCs w:val="22"/>
        </w:rPr>
        <w:t>Бухгалтерський облік ведеться відповідно до Закону України «Про бухгалтерський облік і фінансову звітність в Україні» від 16.07.1999 р. за № 996–ХIV  Облік</w:t>
      </w:r>
      <w:r w:rsidR="00BE28A2">
        <w:rPr>
          <w:sz w:val="22"/>
          <w:szCs w:val="22"/>
        </w:rPr>
        <w:t>,</w:t>
      </w:r>
      <w:r w:rsidRPr="00DE398A">
        <w:rPr>
          <w:sz w:val="22"/>
          <w:szCs w:val="22"/>
        </w:rPr>
        <w:t xml:space="preserve"> в </w:t>
      </w:r>
      <w:r w:rsidR="00BE28A2">
        <w:rPr>
          <w:sz w:val="22"/>
          <w:szCs w:val="22"/>
        </w:rPr>
        <w:t>основному,</w:t>
      </w:r>
      <w:r w:rsidRPr="00DE398A">
        <w:rPr>
          <w:sz w:val="22"/>
          <w:szCs w:val="22"/>
        </w:rPr>
        <w:t xml:space="preserve"> відповідає вимогам Закону України «Про бухгалтерський облік та фінансову звітність в Україні»  з врахуванням вимог  нормативних документів з питань орг</w:t>
      </w:r>
      <w:r w:rsidR="00A75A50" w:rsidRPr="00DE398A">
        <w:rPr>
          <w:sz w:val="22"/>
          <w:szCs w:val="22"/>
        </w:rPr>
        <w:t xml:space="preserve">анізації бухгалтерського обліку, а річна фінансова звітність складена шляхом </w:t>
      </w:r>
      <w:r w:rsidR="00E8578B">
        <w:rPr>
          <w:sz w:val="22"/>
          <w:szCs w:val="22"/>
        </w:rPr>
        <w:t xml:space="preserve">відображення </w:t>
      </w:r>
      <w:r w:rsidR="00A75A50" w:rsidRPr="00DE398A">
        <w:rPr>
          <w:sz w:val="22"/>
          <w:szCs w:val="22"/>
        </w:rPr>
        <w:t xml:space="preserve">даних бухгалтерського обліку відповідно до вимог МСФЗ. Внаслідок </w:t>
      </w:r>
      <w:r w:rsidR="00AF5261" w:rsidRPr="00DE398A">
        <w:rPr>
          <w:sz w:val="22"/>
          <w:szCs w:val="22"/>
        </w:rPr>
        <w:t xml:space="preserve">чого </w:t>
      </w:r>
      <w:r w:rsidR="00A75A50" w:rsidRPr="00DE398A">
        <w:rPr>
          <w:sz w:val="22"/>
          <w:szCs w:val="22"/>
        </w:rPr>
        <w:t>річна фінансова звітність в основному відпові</w:t>
      </w:r>
      <w:r w:rsidR="00AF5261" w:rsidRPr="00DE398A">
        <w:rPr>
          <w:sz w:val="22"/>
          <w:szCs w:val="22"/>
        </w:rPr>
        <w:t>дає концептуальній основі МСФЗ.</w:t>
      </w:r>
    </w:p>
    <w:p w:rsidR="003E3478" w:rsidRPr="00A722B8" w:rsidRDefault="00A9261B" w:rsidP="00A75A50">
      <w:pPr>
        <w:pStyle w:val="a9"/>
        <w:tabs>
          <w:tab w:val="clear" w:pos="4153"/>
          <w:tab w:val="clear" w:pos="8306"/>
        </w:tabs>
        <w:ind w:firstLine="567"/>
        <w:jc w:val="both"/>
        <w:rPr>
          <w:sz w:val="22"/>
          <w:szCs w:val="22"/>
        </w:rPr>
      </w:pPr>
      <w:r w:rsidRPr="00DE398A">
        <w:rPr>
          <w:sz w:val="22"/>
          <w:szCs w:val="22"/>
        </w:rPr>
        <w:t xml:space="preserve">Бухгалтерський облік ведеться по журнально-ордерній формі з використанням комп'ютерної програми </w:t>
      </w:r>
      <w:r w:rsidR="003E3478" w:rsidRPr="003E3478">
        <w:rPr>
          <w:sz w:val="22"/>
          <w:szCs w:val="22"/>
        </w:rPr>
        <w:t xml:space="preserve">  </w:t>
      </w:r>
      <w:r w:rsidR="003E3478" w:rsidRPr="00A722B8">
        <w:rPr>
          <w:sz w:val="22"/>
          <w:szCs w:val="22"/>
        </w:rPr>
        <w:t>Microsoft Office Excel</w:t>
      </w:r>
    </w:p>
    <w:p w:rsidR="00AA0634" w:rsidRPr="00DE398A" w:rsidRDefault="00AA0634" w:rsidP="00A75A50">
      <w:pPr>
        <w:pStyle w:val="a9"/>
        <w:tabs>
          <w:tab w:val="clear" w:pos="4153"/>
          <w:tab w:val="clear" w:pos="8306"/>
        </w:tabs>
        <w:ind w:firstLine="567"/>
        <w:jc w:val="both"/>
        <w:rPr>
          <w:sz w:val="22"/>
          <w:szCs w:val="22"/>
        </w:rPr>
      </w:pPr>
      <w:r w:rsidRPr="00DE398A">
        <w:rPr>
          <w:sz w:val="22"/>
          <w:szCs w:val="22"/>
        </w:rPr>
        <w:t>Аудиторами перевірено відповідність даних фінансової звітності даним обліку та відповідність даних окремих форм звітності один до одного, зокрема, що підтверджує реальність і точність фінансової діяльності установи.</w:t>
      </w:r>
    </w:p>
    <w:p w:rsidR="00AA0634" w:rsidRPr="00DE398A" w:rsidRDefault="00AA0634" w:rsidP="002903B0">
      <w:pPr>
        <w:pStyle w:val="a9"/>
        <w:tabs>
          <w:tab w:val="clear" w:pos="4153"/>
          <w:tab w:val="clear" w:pos="8306"/>
        </w:tabs>
        <w:ind w:firstLine="567"/>
        <w:jc w:val="both"/>
        <w:rPr>
          <w:sz w:val="22"/>
          <w:szCs w:val="22"/>
        </w:rPr>
      </w:pPr>
      <w:r w:rsidRPr="00DE398A">
        <w:rPr>
          <w:sz w:val="22"/>
          <w:szCs w:val="22"/>
        </w:rPr>
        <w:t xml:space="preserve">Аудиторами підтверджується відповідність даних фінансової звітності </w:t>
      </w:r>
      <w:r w:rsidR="007370AA" w:rsidRPr="00DE398A">
        <w:rPr>
          <w:sz w:val="22"/>
          <w:szCs w:val="22"/>
        </w:rPr>
        <w:t xml:space="preserve">Товариства </w:t>
      </w:r>
      <w:r w:rsidRPr="00DE398A">
        <w:rPr>
          <w:sz w:val="22"/>
          <w:szCs w:val="22"/>
        </w:rPr>
        <w:t xml:space="preserve">даним обліку та відповідність даних форм звітності один одному. </w:t>
      </w:r>
    </w:p>
    <w:p w:rsidR="00EA0DAD" w:rsidRDefault="00EA0DAD" w:rsidP="00EA0DAD">
      <w:pPr>
        <w:pStyle w:val="a9"/>
        <w:shd w:val="clear" w:color="auto" w:fill="FFFFFF"/>
        <w:tabs>
          <w:tab w:val="clear" w:pos="4153"/>
          <w:tab w:val="clear" w:pos="8306"/>
        </w:tabs>
        <w:jc w:val="both"/>
        <w:rPr>
          <w:rFonts w:ascii="Arial" w:hAnsi="Arial" w:cs="Arial"/>
          <w:b/>
          <w:sz w:val="22"/>
          <w:szCs w:val="22"/>
        </w:rPr>
      </w:pPr>
    </w:p>
    <w:p w:rsidR="00EA0DAD" w:rsidRPr="00EA0DAD" w:rsidRDefault="00EA0DAD" w:rsidP="00EA0DAD">
      <w:pPr>
        <w:pStyle w:val="a9"/>
        <w:shd w:val="clear" w:color="auto" w:fill="FFFFFF"/>
        <w:tabs>
          <w:tab w:val="clear" w:pos="4153"/>
          <w:tab w:val="clear" w:pos="8306"/>
        </w:tabs>
        <w:jc w:val="both"/>
        <w:rPr>
          <w:b/>
          <w:sz w:val="22"/>
          <w:szCs w:val="22"/>
        </w:rPr>
      </w:pPr>
      <w:r w:rsidRPr="00EA0DAD">
        <w:rPr>
          <w:b/>
          <w:sz w:val="22"/>
          <w:szCs w:val="22"/>
        </w:rPr>
        <w:t>5. Наявність та незмінність облікової політики Товариства</w:t>
      </w:r>
    </w:p>
    <w:p w:rsidR="00EA0DAD" w:rsidRPr="00EA0DAD" w:rsidRDefault="00EA0DAD" w:rsidP="00EA0DAD">
      <w:pPr>
        <w:pStyle w:val="a9"/>
        <w:shd w:val="clear" w:color="auto" w:fill="FFFFFF"/>
        <w:tabs>
          <w:tab w:val="clear" w:pos="4153"/>
          <w:tab w:val="clear" w:pos="8306"/>
        </w:tabs>
        <w:ind w:firstLine="567"/>
        <w:jc w:val="both"/>
        <w:rPr>
          <w:rFonts w:eastAsia="Calibri"/>
          <w:sz w:val="22"/>
          <w:szCs w:val="22"/>
          <w:lang w:eastAsia="ru-RU"/>
        </w:rPr>
      </w:pPr>
      <w:r w:rsidRPr="00EA0DAD">
        <w:rPr>
          <w:sz w:val="22"/>
          <w:szCs w:val="22"/>
        </w:rPr>
        <w:t>В 201</w:t>
      </w:r>
      <w:r w:rsidR="00E00A6A">
        <w:rPr>
          <w:sz w:val="22"/>
          <w:szCs w:val="22"/>
        </w:rPr>
        <w:t>5</w:t>
      </w:r>
      <w:r w:rsidRPr="00EA0DAD">
        <w:rPr>
          <w:sz w:val="22"/>
          <w:szCs w:val="22"/>
        </w:rPr>
        <w:t xml:space="preserve"> році Товариством використовувалась облікова політика, якою визначено сукупність принципів, методів, що використовуються при відображенні господарських операцій в бухгалтерському обліку і складанні фінансової звітності відповідно до </w:t>
      </w:r>
      <w:r w:rsidRPr="00EA0DAD">
        <w:rPr>
          <w:rFonts w:eastAsia="Calibri"/>
          <w:sz w:val="22"/>
          <w:szCs w:val="22"/>
          <w:lang w:eastAsia="ru-RU"/>
        </w:rPr>
        <w:t>Міжнародних стандартів фінансової звітності.</w:t>
      </w:r>
    </w:p>
    <w:p w:rsidR="00296070" w:rsidRPr="00DE398A" w:rsidRDefault="00296070" w:rsidP="00FA7EB3">
      <w:pPr>
        <w:pStyle w:val="a9"/>
        <w:tabs>
          <w:tab w:val="clear" w:pos="4153"/>
          <w:tab w:val="clear" w:pos="8306"/>
        </w:tabs>
        <w:rPr>
          <w:sz w:val="22"/>
          <w:szCs w:val="22"/>
        </w:rPr>
      </w:pPr>
    </w:p>
    <w:p w:rsidR="00296070" w:rsidRPr="00C20E49" w:rsidRDefault="00EA0DAD" w:rsidP="00B71756">
      <w:pPr>
        <w:pStyle w:val="a9"/>
        <w:tabs>
          <w:tab w:val="clear" w:pos="4153"/>
          <w:tab w:val="clear" w:pos="8306"/>
        </w:tabs>
        <w:jc w:val="both"/>
        <w:rPr>
          <w:b/>
          <w:sz w:val="22"/>
          <w:szCs w:val="22"/>
          <w:lang w:val="ru-RU"/>
        </w:rPr>
      </w:pPr>
      <w:r>
        <w:rPr>
          <w:b/>
          <w:sz w:val="22"/>
          <w:szCs w:val="22"/>
        </w:rPr>
        <w:t>6</w:t>
      </w:r>
      <w:r w:rsidR="00B71756" w:rsidRPr="00DE398A">
        <w:rPr>
          <w:b/>
          <w:sz w:val="22"/>
          <w:szCs w:val="22"/>
        </w:rPr>
        <w:t xml:space="preserve">. </w:t>
      </w:r>
      <w:r w:rsidR="00296070" w:rsidRPr="00DE398A">
        <w:rPr>
          <w:b/>
          <w:sz w:val="22"/>
          <w:szCs w:val="22"/>
        </w:rPr>
        <w:t>Підтвердження правильності та адекватності визначення власного капіталу</w:t>
      </w:r>
      <w:r w:rsidR="00C20E49">
        <w:rPr>
          <w:b/>
          <w:sz w:val="22"/>
          <w:szCs w:val="22"/>
        </w:rPr>
        <w:t>, його структури та призначення</w:t>
      </w:r>
    </w:p>
    <w:p w:rsidR="00CD0982" w:rsidRPr="001D2CCB" w:rsidRDefault="00296070" w:rsidP="001D2CCB">
      <w:pPr>
        <w:pStyle w:val="a9"/>
        <w:tabs>
          <w:tab w:val="clear" w:pos="4153"/>
          <w:tab w:val="clear" w:pos="8306"/>
        </w:tabs>
        <w:ind w:firstLine="567"/>
        <w:jc w:val="both"/>
        <w:rPr>
          <w:sz w:val="22"/>
        </w:rPr>
      </w:pPr>
      <w:r w:rsidRPr="00DE398A">
        <w:rPr>
          <w:sz w:val="22"/>
          <w:szCs w:val="22"/>
        </w:rPr>
        <w:t xml:space="preserve">Облік статутного капіталу відповідає вимогам чинного законодавства. Розмір статутного капіталу складає </w:t>
      </w:r>
      <w:r w:rsidR="001D2CCB" w:rsidRPr="00FD002F">
        <w:rPr>
          <w:sz w:val="22"/>
          <w:szCs w:val="22"/>
        </w:rPr>
        <w:t>24</w:t>
      </w:r>
      <w:r w:rsidR="00FD002F" w:rsidRPr="00FD002F">
        <w:rPr>
          <w:sz w:val="22"/>
          <w:szCs w:val="22"/>
        </w:rPr>
        <w:t>6</w:t>
      </w:r>
      <w:r w:rsidR="00AF4EBE" w:rsidRPr="00FD002F">
        <w:rPr>
          <w:sz w:val="22"/>
          <w:szCs w:val="22"/>
        </w:rPr>
        <w:t xml:space="preserve"> тис.</w:t>
      </w:r>
      <w:r w:rsidR="00FC799F" w:rsidRPr="00FD002F">
        <w:rPr>
          <w:sz w:val="22"/>
          <w:szCs w:val="22"/>
        </w:rPr>
        <w:t xml:space="preserve"> </w:t>
      </w:r>
      <w:r w:rsidR="00AF4EBE" w:rsidRPr="00FD002F">
        <w:rPr>
          <w:sz w:val="22"/>
          <w:szCs w:val="22"/>
        </w:rPr>
        <w:t>грн</w:t>
      </w:r>
      <w:r w:rsidRPr="00FD002F">
        <w:rPr>
          <w:sz w:val="22"/>
          <w:szCs w:val="22"/>
        </w:rPr>
        <w:t>.</w:t>
      </w:r>
      <w:r w:rsidR="00CD0982" w:rsidRPr="003D63F0">
        <w:rPr>
          <w:color w:val="FF0000"/>
          <w:sz w:val="22"/>
          <w:szCs w:val="22"/>
        </w:rPr>
        <w:t xml:space="preserve"> </w:t>
      </w:r>
      <w:r w:rsidR="001D2CCB" w:rsidRPr="001D2CCB">
        <w:rPr>
          <w:sz w:val="22"/>
        </w:rPr>
        <w:t>Станом на 31.12.201</w:t>
      </w:r>
      <w:r w:rsidR="00E00A6A">
        <w:rPr>
          <w:sz w:val="22"/>
        </w:rPr>
        <w:t>5</w:t>
      </w:r>
      <w:r w:rsidR="001D2CCB" w:rsidRPr="001D2CCB">
        <w:rPr>
          <w:sz w:val="22"/>
        </w:rPr>
        <w:t xml:space="preserve"> р. </w:t>
      </w:r>
      <w:r w:rsidR="000E09A8">
        <w:rPr>
          <w:sz w:val="22"/>
        </w:rPr>
        <w:t>нео</w:t>
      </w:r>
      <w:r w:rsidR="00EA0DAD">
        <w:rPr>
          <w:sz w:val="22"/>
        </w:rPr>
        <w:t>плачений</w:t>
      </w:r>
      <w:r w:rsidR="000E09A8">
        <w:rPr>
          <w:sz w:val="22"/>
        </w:rPr>
        <w:t xml:space="preserve"> капітал становить 7 тис.</w:t>
      </w:r>
      <w:r w:rsidR="004C3D38">
        <w:rPr>
          <w:sz w:val="22"/>
        </w:rPr>
        <w:t xml:space="preserve"> </w:t>
      </w:r>
      <w:r w:rsidR="000E09A8">
        <w:rPr>
          <w:sz w:val="22"/>
        </w:rPr>
        <w:t>грн.</w:t>
      </w:r>
    </w:p>
    <w:p w:rsidR="004347E8" w:rsidRPr="00FD002F" w:rsidRDefault="004347E8" w:rsidP="001D2CCB">
      <w:pPr>
        <w:pStyle w:val="a9"/>
        <w:tabs>
          <w:tab w:val="clear" w:pos="4153"/>
          <w:tab w:val="clear" w:pos="8306"/>
        </w:tabs>
        <w:ind w:firstLine="567"/>
        <w:jc w:val="both"/>
        <w:rPr>
          <w:sz w:val="22"/>
          <w:szCs w:val="22"/>
        </w:rPr>
      </w:pPr>
      <w:r w:rsidRPr="00DE398A">
        <w:rPr>
          <w:sz w:val="22"/>
          <w:szCs w:val="22"/>
        </w:rPr>
        <w:t>За результатами господарської діяльності у 201</w:t>
      </w:r>
      <w:r w:rsidR="00E00A6A">
        <w:rPr>
          <w:sz w:val="22"/>
          <w:szCs w:val="22"/>
        </w:rPr>
        <w:t>5</w:t>
      </w:r>
      <w:r w:rsidRPr="00DE398A">
        <w:rPr>
          <w:sz w:val="22"/>
          <w:szCs w:val="22"/>
        </w:rPr>
        <w:t xml:space="preserve"> р. </w:t>
      </w:r>
      <w:r w:rsidRPr="00FD002F">
        <w:rPr>
          <w:sz w:val="22"/>
          <w:szCs w:val="22"/>
        </w:rPr>
        <w:t xml:space="preserve">Товариством отримано </w:t>
      </w:r>
      <w:r w:rsidR="00E00A6A">
        <w:rPr>
          <w:sz w:val="22"/>
          <w:szCs w:val="22"/>
        </w:rPr>
        <w:t xml:space="preserve"> збиток</w:t>
      </w:r>
      <w:r w:rsidR="00EA0DAD" w:rsidRPr="00FD002F">
        <w:rPr>
          <w:sz w:val="22"/>
          <w:szCs w:val="22"/>
        </w:rPr>
        <w:t xml:space="preserve"> </w:t>
      </w:r>
      <w:r w:rsidRPr="00FD002F">
        <w:rPr>
          <w:sz w:val="22"/>
          <w:szCs w:val="22"/>
        </w:rPr>
        <w:t xml:space="preserve"> у сумі </w:t>
      </w:r>
      <w:r w:rsidR="00E00A6A">
        <w:rPr>
          <w:sz w:val="22"/>
          <w:szCs w:val="22"/>
        </w:rPr>
        <w:t>4</w:t>
      </w:r>
      <w:r w:rsidRPr="00FD002F">
        <w:rPr>
          <w:sz w:val="22"/>
          <w:szCs w:val="22"/>
          <w:lang w:val="ru-RU"/>
        </w:rPr>
        <w:t xml:space="preserve"> </w:t>
      </w:r>
      <w:r w:rsidRPr="00FD002F">
        <w:rPr>
          <w:sz w:val="22"/>
          <w:szCs w:val="22"/>
        </w:rPr>
        <w:t xml:space="preserve">тис. грн. Сума </w:t>
      </w:r>
      <w:r w:rsidR="001D2CCB" w:rsidRPr="00FD002F">
        <w:rPr>
          <w:sz w:val="22"/>
          <w:szCs w:val="22"/>
        </w:rPr>
        <w:t>непокритих збитків</w:t>
      </w:r>
      <w:r w:rsidRPr="00FD002F">
        <w:rPr>
          <w:sz w:val="22"/>
          <w:szCs w:val="22"/>
        </w:rPr>
        <w:t xml:space="preserve"> на 31.12.201</w:t>
      </w:r>
      <w:r w:rsidR="00E00A6A">
        <w:rPr>
          <w:sz w:val="22"/>
          <w:szCs w:val="22"/>
        </w:rPr>
        <w:t>5</w:t>
      </w:r>
      <w:r w:rsidR="007F448D" w:rsidRPr="00FD002F">
        <w:rPr>
          <w:sz w:val="22"/>
          <w:szCs w:val="22"/>
        </w:rPr>
        <w:t xml:space="preserve"> </w:t>
      </w:r>
      <w:r w:rsidRPr="00FD002F">
        <w:rPr>
          <w:sz w:val="22"/>
          <w:szCs w:val="22"/>
        </w:rPr>
        <w:t xml:space="preserve">р. – </w:t>
      </w:r>
      <w:r w:rsidR="00FD002F" w:rsidRPr="00FD002F">
        <w:rPr>
          <w:sz w:val="22"/>
          <w:szCs w:val="22"/>
        </w:rPr>
        <w:t>3</w:t>
      </w:r>
      <w:r w:rsidR="00E00A6A">
        <w:rPr>
          <w:sz w:val="22"/>
          <w:szCs w:val="22"/>
        </w:rPr>
        <w:t>5</w:t>
      </w:r>
      <w:r w:rsidRPr="00FD002F">
        <w:rPr>
          <w:sz w:val="22"/>
          <w:szCs w:val="22"/>
        </w:rPr>
        <w:t xml:space="preserve"> тис. грн. Результат діяльності підтверджується первинними документами.</w:t>
      </w:r>
    </w:p>
    <w:p w:rsidR="00296070" w:rsidRPr="00DE398A" w:rsidRDefault="00296070">
      <w:pPr>
        <w:pStyle w:val="a9"/>
        <w:tabs>
          <w:tab w:val="clear" w:pos="4153"/>
          <w:tab w:val="clear" w:pos="8306"/>
        </w:tabs>
        <w:ind w:firstLine="567"/>
        <w:jc w:val="both"/>
        <w:rPr>
          <w:sz w:val="22"/>
          <w:szCs w:val="22"/>
        </w:rPr>
      </w:pPr>
      <w:r w:rsidRPr="00DE398A">
        <w:rPr>
          <w:sz w:val="22"/>
          <w:szCs w:val="22"/>
        </w:rPr>
        <w:t>Аудиторською перевіркою підтверджується правильність та адекватність визначення власного капіталу, його структури та призначення.</w:t>
      </w:r>
    </w:p>
    <w:p w:rsidR="00B6072B" w:rsidRPr="00DE398A" w:rsidRDefault="00B6072B" w:rsidP="0029125E">
      <w:pPr>
        <w:pStyle w:val="a9"/>
        <w:tabs>
          <w:tab w:val="clear" w:pos="4153"/>
          <w:tab w:val="clear" w:pos="8306"/>
        </w:tabs>
        <w:jc w:val="both"/>
        <w:rPr>
          <w:b/>
          <w:sz w:val="22"/>
          <w:szCs w:val="22"/>
        </w:rPr>
      </w:pPr>
    </w:p>
    <w:p w:rsidR="00296070" w:rsidRPr="00C20E49" w:rsidRDefault="00EA0DAD" w:rsidP="00B71756">
      <w:pPr>
        <w:pStyle w:val="a9"/>
        <w:tabs>
          <w:tab w:val="clear" w:pos="4153"/>
          <w:tab w:val="clear" w:pos="8306"/>
        </w:tabs>
        <w:jc w:val="both"/>
        <w:rPr>
          <w:b/>
          <w:sz w:val="22"/>
          <w:szCs w:val="22"/>
          <w:lang w:val="ru-RU"/>
        </w:rPr>
      </w:pPr>
      <w:r>
        <w:rPr>
          <w:b/>
          <w:sz w:val="22"/>
          <w:szCs w:val="22"/>
        </w:rPr>
        <w:t>7</w:t>
      </w:r>
      <w:r w:rsidR="00B71756" w:rsidRPr="00DE398A">
        <w:rPr>
          <w:b/>
          <w:sz w:val="22"/>
          <w:szCs w:val="22"/>
        </w:rPr>
        <w:t xml:space="preserve">. </w:t>
      </w:r>
      <w:r w:rsidR="00296070" w:rsidRPr="00DE398A">
        <w:rPr>
          <w:b/>
          <w:sz w:val="22"/>
          <w:szCs w:val="22"/>
        </w:rPr>
        <w:t>Підтвердження реальності та точності фінансових результатів діяльності Товариства, відо</w:t>
      </w:r>
      <w:r w:rsidR="00C20E49">
        <w:rPr>
          <w:b/>
          <w:sz w:val="22"/>
          <w:szCs w:val="22"/>
        </w:rPr>
        <w:t>бражених у фінансовій звітності</w:t>
      </w:r>
    </w:p>
    <w:p w:rsidR="00416588" w:rsidRPr="00CA1134" w:rsidRDefault="00416588">
      <w:pPr>
        <w:pStyle w:val="a9"/>
        <w:tabs>
          <w:tab w:val="clear" w:pos="4153"/>
          <w:tab w:val="clear" w:pos="8306"/>
        </w:tabs>
        <w:ind w:firstLine="567"/>
        <w:jc w:val="both"/>
        <w:rPr>
          <w:b/>
          <w:sz w:val="16"/>
          <w:szCs w:val="16"/>
        </w:rPr>
      </w:pPr>
    </w:p>
    <w:p w:rsidR="00296070" w:rsidRPr="00DE398A" w:rsidRDefault="00296070">
      <w:pPr>
        <w:pStyle w:val="a9"/>
        <w:tabs>
          <w:tab w:val="clear" w:pos="4153"/>
          <w:tab w:val="clear" w:pos="8306"/>
        </w:tabs>
        <w:ind w:firstLine="567"/>
        <w:jc w:val="both"/>
        <w:rPr>
          <w:b/>
          <w:i/>
          <w:sz w:val="22"/>
          <w:szCs w:val="22"/>
        </w:rPr>
      </w:pPr>
      <w:r w:rsidRPr="00DE398A">
        <w:rPr>
          <w:b/>
          <w:i/>
          <w:sz w:val="22"/>
          <w:szCs w:val="22"/>
        </w:rPr>
        <w:t>Облік витрат.</w:t>
      </w:r>
    </w:p>
    <w:p w:rsidR="001B24FF" w:rsidRPr="001155B4" w:rsidRDefault="00296070" w:rsidP="001155B4">
      <w:pPr>
        <w:widowControl w:val="0"/>
        <w:autoSpaceDE w:val="0"/>
        <w:autoSpaceDN w:val="0"/>
        <w:adjustRightInd w:val="0"/>
        <w:spacing w:before="100"/>
        <w:ind w:firstLine="567"/>
        <w:jc w:val="both"/>
        <w:rPr>
          <w:sz w:val="22"/>
          <w:szCs w:val="22"/>
        </w:rPr>
      </w:pPr>
      <w:r w:rsidRPr="00FC799F">
        <w:rPr>
          <w:sz w:val="22"/>
          <w:szCs w:val="22"/>
        </w:rPr>
        <w:t>Витрати</w:t>
      </w:r>
      <w:r w:rsidR="004347E8" w:rsidRPr="00FC799F">
        <w:rPr>
          <w:sz w:val="22"/>
          <w:szCs w:val="22"/>
        </w:rPr>
        <w:t xml:space="preserve"> </w:t>
      </w:r>
      <w:r w:rsidRPr="00FC799F">
        <w:rPr>
          <w:sz w:val="22"/>
          <w:szCs w:val="22"/>
        </w:rPr>
        <w:t xml:space="preserve">обліковуються у відповідності до вимог П(с)БО 16 </w:t>
      </w:r>
      <w:r w:rsidR="004347E8" w:rsidRPr="00FC799F">
        <w:rPr>
          <w:sz w:val="22"/>
          <w:szCs w:val="22"/>
        </w:rPr>
        <w:t>«</w:t>
      </w:r>
      <w:r w:rsidRPr="00FC799F">
        <w:rPr>
          <w:sz w:val="22"/>
          <w:szCs w:val="22"/>
        </w:rPr>
        <w:t>Витрати</w:t>
      </w:r>
      <w:r w:rsidR="004347E8" w:rsidRPr="00FC799F">
        <w:rPr>
          <w:sz w:val="22"/>
          <w:szCs w:val="22"/>
        </w:rPr>
        <w:t>»</w:t>
      </w:r>
      <w:r w:rsidR="00237593" w:rsidRPr="00FC799F">
        <w:rPr>
          <w:sz w:val="22"/>
          <w:szCs w:val="22"/>
        </w:rPr>
        <w:t>.</w:t>
      </w:r>
      <w:r w:rsidR="00FC799F" w:rsidRPr="00FC799F">
        <w:rPr>
          <w:sz w:val="22"/>
          <w:szCs w:val="22"/>
        </w:rPr>
        <w:t xml:space="preserve"> </w:t>
      </w:r>
    </w:p>
    <w:p w:rsidR="00296070" w:rsidRPr="00DE398A" w:rsidRDefault="00296070">
      <w:pPr>
        <w:pStyle w:val="a9"/>
        <w:tabs>
          <w:tab w:val="clear" w:pos="4153"/>
          <w:tab w:val="clear" w:pos="8306"/>
        </w:tabs>
        <w:ind w:firstLine="567"/>
        <w:rPr>
          <w:b/>
          <w:i/>
          <w:sz w:val="22"/>
          <w:szCs w:val="22"/>
        </w:rPr>
      </w:pPr>
      <w:r w:rsidRPr="00DE398A">
        <w:rPr>
          <w:b/>
          <w:i/>
          <w:sz w:val="22"/>
          <w:szCs w:val="22"/>
        </w:rPr>
        <w:lastRenderedPageBreak/>
        <w:t>Облік доходів і фінансових результатів.</w:t>
      </w:r>
    </w:p>
    <w:p w:rsidR="00296070" w:rsidRPr="00DE398A" w:rsidRDefault="00296070">
      <w:pPr>
        <w:pStyle w:val="a8"/>
        <w:jc w:val="both"/>
        <w:rPr>
          <w:sz w:val="22"/>
          <w:szCs w:val="22"/>
        </w:rPr>
      </w:pPr>
      <w:r w:rsidRPr="00DE398A">
        <w:rPr>
          <w:sz w:val="22"/>
          <w:szCs w:val="22"/>
        </w:rPr>
        <w:t>Визначення виручки від реалізації та фінансових результатів діяльності, порядок обчислення податкових та інших обов’язкових платежів проводилось  Товариством у звітному періоді у порядку, передбаченому нормативними актами України з питань бухгалтерського обліку, звітності та оподаткування.</w:t>
      </w:r>
    </w:p>
    <w:p w:rsidR="00296070" w:rsidRPr="00DE398A" w:rsidRDefault="00296070">
      <w:pPr>
        <w:pStyle w:val="a8"/>
        <w:jc w:val="both"/>
        <w:rPr>
          <w:sz w:val="22"/>
          <w:szCs w:val="22"/>
        </w:rPr>
      </w:pPr>
      <w:r w:rsidRPr="00DE398A">
        <w:rPr>
          <w:sz w:val="22"/>
          <w:szCs w:val="22"/>
        </w:rPr>
        <w:t xml:space="preserve">Спільної господарської діяльності </w:t>
      </w:r>
      <w:r w:rsidR="00CD0982" w:rsidRPr="00DE398A">
        <w:rPr>
          <w:sz w:val="22"/>
          <w:szCs w:val="22"/>
        </w:rPr>
        <w:t>Товариство</w:t>
      </w:r>
      <w:r w:rsidRPr="00DE398A">
        <w:rPr>
          <w:sz w:val="22"/>
          <w:szCs w:val="22"/>
        </w:rPr>
        <w:t xml:space="preserve"> не веде.</w:t>
      </w:r>
    </w:p>
    <w:p w:rsidR="007F448D" w:rsidRPr="001155B4" w:rsidRDefault="00296070" w:rsidP="001155B4">
      <w:pPr>
        <w:pStyle w:val="a8"/>
        <w:jc w:val="both"/>
        <w:rPr>
          <w:sz w:val="22"/>
          <w:szCs w:val="22"/>
        </w:rPr>
      </w:pPr>
      <w:r w:rsidRPr="00DE398A">
        <w:rPr>
          <w:sz w:val="22"/>
          <w:szCs w:val="22"/>
        </w:rPr>
        <w:t>Перевірено достовірність даних про дохід (виручку) від реалізації послуг, а також правильність розрахунку собівартості та витрат періоду при формуванні фінансових результатів за звітний період.</w:t>
      </w:r>
    </w:p>
    <w:p w:rsidR="009454EB" w:rsidRPr="00FC799F" w:rsidRDefault="00296070" w:rsidP="009454EB">
      <w:pPr>
        <w:widowControl w:val="0"/>
        <w:autoSpaceDE w:val="0"/>
        <w:autoSpaceDN w:val="0"/>
        <w:adjustRightInd w:val="0"/>
        <w:spacing w:before="100"/>
        <w:ind w:firstLine="567"/>
        <w:jc w:val="both"/>
        <w:rPr>
          <w:sz w:val="22"/>
          <w:szCs w:val="22"/>
        </w:rPr>
      </w:pPr>
      <w:r w:rsidRPr="00DE398A">
        <w:rPr>
          <w:sz w:val="22"/>
          <w:szCs w:val="22"/>
        </w:rPr>
        <w:t>Аналіз доходів, витрат і фінансових результатів дає аудитору підставу підтвердити реальність та точність фінансових результатів діяльності Товариства. Аудитор підтверджує, що в фінансовій звітності Товариства наведені дані про фінансові результати є реальними і відповідают</w:t>
      </w:r>
      <w:r w:rsidR="00EA5F0E">
        <w:rPr>
          <w:sz w:val="22"/>
          <w:szCs w:val="22"/>
        </w:rPr>
        <w:t>ь даним бухгалтерського обліку</w:t>
      </w:r>
      <w:r w:rsidR="009454EB" w:rsidRPr="00FC799F">
        <w:rPr>
          <w:sz w:val="22"/>
          <w:szCs w:val="22"/>
        </w:rPr>
        <w:t xml:space="preserve"> і відображен</w:t>
      </w:r>
      <w:r w:rsidR="009454EB">
        <w:rPr>
          <w:sz w:val="22"/>
          <w:szCs w:val="22"/>
        </w:rPr>
        <w:t>і</w:t>
      </w:r>
      <w:r w:rsidR="009454EB" w:rsidRPr="00FC799F">
        <w:rPr>
          <w:sz w:val="22"/>
          <w:szCs w:val="22"/>
        </w:rPr>
        <w:t xml:space="preserve"> відповідно до вимог МСФЗ.</w:t>
      </w:r>
    </w:p>
    <w:p w:rsidR="00B67B16" w:rsidRPr="00A205BE" w:rsidRDefault="00B67B16" w:rsidP="004347E8">
      <w:pPr>
        <w:pStyle w:val="a9"/>
        <w:tabs>
          <w:tab w:val="clear" w:pos="4153"/>
          <w:tab w:val="clear" w:pos="8306"/>
        </w:tabs>
        <w:rPr>
          <w:b/>
          <w:sz w:val="16"/>
          <w:szCs w:val="16"/>
        </w:rPr>
      </w:pPr>
    </w:p>
    <w:p w:rsidR="00296070" w:rsidRPr="00DE398A" w:rsidRDefault="001155B4" w:rsidP="00B71756">
      <w:pPr>
        <w:pStyle w:val="a9"/>
        <w:tabs>
          <w:tab w:val="clear" w:pos="4153"/>
          <w:tab w:val="clear" w:pos="8306"/>
        </w:tabs>
        <w:rPr>
          <w:b/>
          <w:sz w:val="22"/>
          <w:szCs w:val="22"/>
        </w:rPr>
      </w:pPr>
      <w:r>
        <w:rPr>
          <w:b/>
          <w:sz w:val="22"/>
          <w:szCs w:val="22"/>
        </w:rPr>
        <w:t>8</w:t>
      </w:r>
      <w:r w:rsidR="00B71756" w:rsidRPr="00DE398A">
        <w:rPr>
          <w:b/>
          <w:sz w:val="22"/>
          <w:szCs w:val="22"/>
        </w:rPr>
        <w:t xml:space="preserve">. </w:t>
      </w:r>
      <w:r w:rsidR="00296070" w:rsidRPr="00DE398A">
        <w:rPr>
          <w:b/>
          <w:sz w:val="22"/>
          <w:szCs w:val="22"/>
        </w:rPr>
        <w:t>Аналіз показників фінансового стану</w:t>
      </w:r>
    </w:p>
    <w:p w:rsidR="00296070" w:rsidRPr="00DE398A" w:rsidRDefault="00296070">
      <w:pPr>
        <w:pStyle w:val="a9"/>
        <w:tabs>
          <w:tab w:val="clear" w:pos="4153"/>
          <w:tab w:val="clear" w:pos="8306"/>
        </w:tabs>
        <w:ind w:firstLine="567"/>
        <w:jc w:val="both"/>
        <w:rPr>
          <w:sz w:val="22"/>
          <w:szCs w:val="22"/>
        </w:rPr>
      </w:pPr>
      <w:r w:rsidRPr="00DE398A">
        <w:rPr>
          <w:sz w:val="22"/>
          <w:szCs w:val="22"/>
        </w:rPr>
        <w:t>На підставі даних фінансової звітності розраховані показники, які характеризують фінансовий стан Товариства (табл. 1).</w:t>
      </w:r>
    </w:p>
    <w:p w:rsidR="00296070" w:rsidRPr="00DE398A" w:rsidRDefault="00296070" w:rsidP="00416588">
      <w:pPr>
        <w:ind w:left="7200" w:firstLine="720"/>
        <w:jc w:val="right"/>
        <w:rPr>
          <w:i/>
          <w:iCs/>
          <w:sz w:val="22"/>
          <w:szCs w:val="22"/>
        </w:rPr>
      </w:pPr>
      <w:r w:rsidRPr="00DE398A">
        <w:rPr>
          <w:i/>
          <w:iCs/>
          <w:sz w:val="22"/>
          <w:szCs w:val="22"/>
        </w:rPr>
        <w:t>Таблиця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3686"/>
        <w:gridCol w:w="992"/>
        <w:gridCol w:w="1427"/>
      </w:tblGrid>
      <w:tr w:rsidR="00296070" w:rsidRPr="00A205BE">
        <w:trPr>
          <w:cantSplit/>
        </w:trPr>
        <w:tc>
          <w:tcPr>
            <w:tcW w:w="4111" w:type="dxa"/>
            <w:shd w:val="clear" w:color="auto" w:fill="auto"/>
            <w:vAlign w:val="center"/>
          </w:tcPr>
          <w:p w:rsidR="00296070" w:rsidRPr="00A205BE" w:rsidRDefault="00296070">
            <w:pPr>
              <w:jc w:val="center"/>
              <w:rPr>
                <w:sz w:val="20"/>
              </w:rPr>
            </w:pPr>
            <w:r w:rsidRPr="00A205BE">
              <w:rPr>
                <w:sz w:val="20"/>
              </w:rPr>
              <w:t>ПОКАЗНИКИ</w:t>
            </w:r>
          </w:p>
        </w:tc>
        <w:tc>
          <w:tcPr>
            <w:tcW w:w="3686" w:type="dxa"/>
            <w:shd w:val="clear" w:color="auto" w:fill="auto"/>
            <w:vAlign w:val="center"/>
          </w:tcPr>
          <w:p w:rsidR="00296070" w:rsidRPr="00A205BE" w:rsidRDefault="00296070">
            <w:pPr>
              <w:jc w:val="center"/>
              <w:rPr>
                <w:sz w:val="20"/>
              </w:rPr>
            </w:pPr>
            <w:r w:rsidRPr="00A205BE">
              <w:rPr>
                <w:sz w:val="20"/>
              </w:rPr>
              <w:t>АЛГОРИТМ</w:t>
            </w:r>
          </w:p>
        </w:tc>
        <w:tc>
          <w:tcPr>
            <w:tcW w:w="992" w:type="dxa"/>
            <w:shd w:val="clear" w:color="auto" w:fill="auto"/>
            <w:vAlign w:val="center"/>
          </w:tcPr>
          <w:p w:rsidR="00296070" w:rsidRPr="00A205BE" w:rsidRDefault="00296070">
            <w:pPr>
              <w:jc w:val="center"/>
              <w:rPr>
                <w:sz w:val="20"/>
              </w:rPr>
            </w:pPr>
            <w:r w:rsidRPr="00A205BE">
              <w:rPr>
                <w:sz w:val="20"/>
              </w:rPr>
              <w:t>Норм.</w:t>
            </w:r>
          </w:p>
        </w:tc>
        <w:tc>
          <w:tcPr>
            <w:tcW w:w="1427" w:type="dxa"/>
            <w:shd w:val="clear" w:color="auto" w:fill="auto"/>
            <w:vAlign w:val="center"/>
          </w:tcPr>
          <w:p w:rsidR="00296070" w:rsidRPr="00A205BE" w:rsidRDefault="00A73458" w:rsidP="00E00A6A">
            <w:pPr>
              <w:jc w:val="center"/>
              <w:rPr>
                <w:sz w:val="20"/>
              </w:rPr>
            </w:pPr>
            <w:r w:rsidRPr="00A205BE">
              <w:rPr>
                <w:sz w:val="20"/>
              </w:rPr>
              <w:t>Станом</w:t>
            </w:r>
            <w:r w:rsidR="004347E8" w:rsidRPr="00A205BE">
              <w:rPr>
                <w:sz w:val="20"/>
              </w:rPr>
              <w:t xml:space="preserve"> на  31.12.201</w:t>
            </w:r>
            <w:r w:rsidR="00E00A6A">
              <w:rPr>
                <w:sz w:val="20"/>
              </w:rPr>
              <w:t>5</w:t>
            </w:r>
            <w:r w:rsidR="004347E8" w:rsidRPr="00A205BE">
              <w:rPr>
                <w:sz w:val="20"/>
              </w:rPr>
              <w:t xml:space="preserve"> </w:t>
            </w:r>
            <w:r w:rsidR="00296070" w:rsidRPr="00A205BE">
              <w:rPr>
                <w:sz w:val="20"/>
              </w:rPr>
              <w:t>р.</w:t>
            </w:r>
          </w:p>
        </w:tc>
      </w:tr>
      <w:tr w:rsidR="00296070" w:rsidRPr="00A205BE">
        <w:trPr>
          <w:cantSplit/>
        </w:trPr>
        <w:tc>
          <w:tcPr>
            <w:tcW w:w="10216" w:type="dxa"/>
            <w:gridSpan w:val="4"/>
            <w:shd w:val="clear" w:color="auto" w:fill="auto"/>
          </w:tcPr>
          <w:p w:rsidR="00296070" w:rsidRPr="00A205BE" w:rsidRDefault="00296070">
            <w:pPr>
              <w:jc w:val="center"/>
              <w:rPr>
                <w:b/>
                <w:sz w:val="20"/>
              </w:rPr>
            </w:pPr>
            <w:r w:rsidRPr="00A205BE">
              <w:rPr>
                <w:b/>
                <w:sz w:val="20"/>
              </w:rPr>
              <w:t>1. Аналіз фінансового стану Товариства</w:t>
            </w:r>
          </w:p>
        </w:tc>
      </w:tr>
      <w:tr w:rsidR="008C65E0" w:rsidRPr="00A205BE">
        <w:trPr>
          <w:cantSplit/>
        </w:trPr>
        <w:tc>
          <w:tcPr>
            <w:tcW w:w="4111" w:type="dxa"/>
            <w:shd w:val="clear" w:color="auto" w:fill="auto"/>
          </w:tcPr>
          <w:p w:rsidR="008C65E0" w:rsidRPr="00A205BE" w:rsidRDefault="00C20E49" w:rsidP="007370AA">
            <w:pPr>
              <w:jc w:val="both"/>
              <w:rPr>
                <w:b/>
                <w:sz w:val="20"/>
              </w:rPr>
            </w:pPr>
            <w:r>
              <w:rPr>
                <w:b/>
                <w:sz w:val="20"/>
                <w:lang w:val="ru-RU"/>
              </w:rPr>
              <w:t>1.1</w:t>
            </w:r>
            <w:r w:rsidR="008C65E0" w:rsidRPr="00A205BE">
              <w:rPr>
                <w:b/>
                <w:sz w:val="20"/>
              </w:rPr>
              <w:t xml:space="preserve">Коефіцієнт загальної ліквідності. </w:t>
            </w:r>
          </w:p>
          <w:p w:rsidR="008C65E0" w:rsidRPr="00A205BE" w:rsidRDefault="008C65E0">
            <w:pPr>
              <w:jc w:val="both"/>
              <w:rPr>
                <w:sz w:val="20"/>
              </w:rPr>
            </w:pPr>
            <w:r w:rsidRPr="00A205BE">
              <w:rPr>
                <w:sz w:val="20"/>
              </w:rPr>
              <w:t xml:space="preserve">Показує, яку частку поточних боргів </w:t>
            </w:r>
            <w:proofErr w:type="spellStart"/>
            <w:r w:rsidRPr="00A205BE">
              <w:rPr>
                <w:sz w:val="20"/>
              </w:rPr>
              <w:t>під-во</w:t>
            </w:r>
            <w:proofErr w:type="spellEnd"/>
            <w:r w:rsidRPr="00A205BE">
              <w:rPr>
                <w:sz w:val="20"/>
              </w:rPr>
              <w:t xml:space="preserve"> може сплатити, якщо для цього використає всі свої оборотні активи.</w:t>
            </w:r>
          </w:p>
        </w:tc>
        <w:tc>
          <w:tcPr>
            <w:tcW w:w="3686" w:type="dxa"/>
            <w:shd w:val="clear" w:color="auto" w:fill="auto"/>
            <w:vAlign w:val="center"/>
          </w:tcPr>
          <w:p w:rsidR="008C65E0" w:rsidRPr="00A205BE" w:rsidRDefault="008C65E0" w:rsidP="008F7079">
            <w:pPr>
              <w:jc w:val="center"/>
              <w:rPr>
                <w:sz w:val="20"/>
              </w:rPr>
            </w:pPr>
            <w:r w:rsidRPr="00A205BE">
              <w:rPr>
                <w:sz w:val="20"/>
              </w:rPr>
              <w:t>Ф.1(р.</w:t>
            </w:r>
            <w:r w:rsidR="008F7079" w:rsidRPr="00A205BE">
              <w:rPr>
                <w:sz w:val="20"/>
              </w:rPr>
              <w:t>1195</w:t>
            </w:r>
            <w:r w:rsidRPr="00A205BE">
              <w:rPr>
                <w:sz w:val="20"/>
              </w:rPr>
              <w:t xml:space="preserve">  + р.</w:t>
            </w:r>
            <w:r w:rsidR="008F7079" w:rsidRPr="00A205BE">
              <w:rPr>
                <w:sz w:val="20"/>
              </w:rPr>
              <w:t>1200</w:t>
            </w:r>
            <w:r w:rsidRPr="00A205BE">
              <w:rPr>
                <w:sz w:val="20"/>
              </w:rPr>
              <w:t xml:space="preserve">) </w:t>
            </w:r>
          </w:p>
          <w:p w:rsidR="008C65E0" w:rsidRPr="00A205BE" w:rsidRDefault="008C65E0">
            <w:pPr>
              <w:jc w:val="center"/>
              <w:rPr>
                <w:sz w:val="20"/>
              </w:rPr>
            </w:pPr>
            <w:r w:rsidRPr="00A205BE">
              <w:rPr>
                <w:sz w:val="20"/>
              </w:rPr>
              <w:t xml:space="preserve">-------------------------- </w:t>
            </w:r>
          </w:p>
          <w:p w:rsidR="008C65E0" w:rsidRPr="00A205BE" w:rsidRDefault="008C65E0">
            <w:pPr>
              <w:jc w:val="center"/>
              <w:rPr>
                <w:sz w:val="20"/>
              </w:rPr>
            </w:pPr>
            <w:r w:rsidRPr="00A205BE">
              <w:rPr>
                <w:sz w:val="20"/>
              </w:rPr>
              <w:t>ф.1 р.</w:t>
            </w:r>
            <w:r w:rsidR="008F7079" w:rsidRPr="00A205BE">
              <w:rPr>
                <w:sz w:val="20"/>
              </w:rPr>
              <w:t>1695</w:t>
            </w:r>
            <w:r w:rsidRPr="00A205BE">
              <w:rPr>
                <w:sz w:val="20"/>
              </w:rPr>
              <w:t xml:space="preserve"> </w:t>
            </w:r>
          </w:p>
        </w:tc>
        <w:tc>
          <w:tcPr>
            <w:tcW w:w="992" w:type="dxa"/>
            <w:shd w:val="clear" w:color="auto" w:fill="auto"/>
            <w:vAlign w:val="center"/>
          </w:tcPr>
          <w:p w:rsidR="008C65E0" w:rsidRPr="00A205BE" w:rsidRDefault="008C65E0">
            <w:pPr>
              <w:jc w:val="center"/>
              <w:rPr>
                <w:sz w:val="20"/>
              </w:rPr>
            </w:pPr>
            <w:r w:rsidRPr="00A205BE">
              <w:rPr>
                <w:sz w:val="20"/>
              </w:rPr>
              <w:t>1 – 2</w:t>
            </w:r>
          </w:p>
        </w:tc>
        <w:tc>
          <w:tcPr>
            <w:tcW w:w="1427" w:type="dxa"/>
            <w:shd w:val="clear" w:color="auto" w:fill="auto"/>
            <w:vAlign w:val="center"/>
          </w:tcPr>
          <w:p w:rsidR="008C65E0" w:rsidRPr="00A205BE" w:rsidRDefault="00E00A6A" w:rsidP="003F5DFD">
            <w:pPr>
              <w:jc w:val="center"/>
              <w:rPr>
                <w:sz w:val="20"/>
                <w:lang w:val="ru-RU"/>
              </w:rPr>
            </w:pPr>
            <w:r>
              <w:rPr>
                <w:sz w:val="20"/>
                <w:lang w:val="ru-RU"/>
              </w:rPr>
              <w:t>6,0</w:t>
            </w:r>
          </w:p>
        </w:tc>
      </w:tr>
      <w:tr w:rsidR="008C65E0" w:rsidRPr="00A205BE">
        <w:trPr>
          <w:cantSplit/>
        </w:trPr>
        <w:tc>
          <w:tcPr>
            <w:tcW w:w="4111" w:type="dxa"/>
            <w:shd w:val="clear" w:color="auto" w:fill="auto"/>
          </w:tcPr>
          <w:p w:rsidR="008C65E0" w:rsidRPr="00A205BE" w:rsidRDefault="008C65E0">
            <w:pPr>
              <w:rPr>
                <w:b/>
                <w:sz w:val="20"/>
              </w:rPr>
            </w:pPr>
            <w:r w:rsidRPr="00A205BE">
              <w:rPr>
                <w:b/>
                <w:sz w:val="20"/>
              </w:rPr>
              <w:t>1.</w:t>
            </w:r>
            <w:r w:rsidR="007370AA" w:rsidRPr="00A205BE">
              <w:rPr>
                <w:b/>
                <w:sz w:val="20"/>
                <w:lang w:val="ru-RU"/>
              </w:rPr>
              <w:t xml:space="preserve">2 </w:t>
            </w:r>
            <w:r w:rsidRPr="00A205BE">
              <w:rPr>
                <w:b/>
                <w:sz w:val="20"/>
              </w:rPr>
              <w:t>Коефіцієнт фінансової   незалежності.</w:t>
            </w:r>
          </w:p>
          <w:p w:rsidR="008C65E0" w:rsidRPr="00A205BE" w:rsidRDefault="008C65E0">
            <w:pPr>
              <w:jc w:val="both"/>
              <w:rPr>
                <w:sz w:val="20"/>
              </w:rPr>
            </w:pPr>
            <w:r w:rsidRPr="00A205BE">
              <w:rPr>
                <w:sz w:val="20"/>
              </w:rPr>
              <w:t xml:space="preserve">Показує, в якій мірі </w:t>
            </w:r>
            <w:proofErr w:type="spellStart"/>
            <w:r w:rsidRPr="00A205BE">
              <w:rPr>
                <w:sz w:val="20"/>
              </w:rPr>
              <w:t>під-во</w:t>
            </w:r>
            <w:proofErr w:type="spellEnd"/>
            <w:r w:rsidRPr="00A205BE">
              <w:rPr>
                <w:sz w:val="20"/>
              </w:rPr>
              <w:t xml:space="preserve"> не залежить від своїх кредиторів. </w:t>
            </w:r>
          </w:p>
        </w:tc>
        <w:tc>
          <w:tcPr>
            <w:tcW w:w="3686" w:type="dxa"/>
            <w:shd w:val="clear" w:color="auto" w:fill="auto"/>
            <w:vAlign w:val="center"/>
          </w:tcPr>
          <w:p w:rsidR="008C65E0" w:rsidRPr="00A205BE" w:rsidRDefault="008C65E0" w:rsidP="008F7079">
            <w:pPr>
              <w:jc w:val="center"/>
              <w:rPr>
                <w:sz w:val="20"/>
              </w:rPr>
            </w:pPr>
            <w:r w:rsidRPr="00A205BE">
              <w:rPr>
                <w:sz w:val="20"/>
              </w:rPr>
              <w:t>Ф.1 р.</w:t>
            </w:r>
            <w:r w:rsidR="008F7079" w:rsidRPr="00A205BE">
              <w:rPr>
                <w:sz w:val="20"/>
              </w:rPr>
              <w:t>1495</w:t>
            </w:r>
            <w:r w:rsidRPr="00A205BE">
              <w:rPr>
                <w:sz w:val="20"/>
              </w:rPr>
              <w:t xml:space="preserve">  </w:t>
            </w:r>
          </w:p>
          <w:p w:rsidR="008C65E0" w:rsidRPr="00A205BE" w:rsidRDefault="008C65E0">
            <w:pPr>
              <w:jc w:val="center"/>
              <w:rPr>
                <w:sz w:val="20"/>
              </w:rPr>
            </w:pPr>
            <w:r w:rsidRPr="00A205BE">
              <w:rPr>
                <w:sz w:val="20"/>
              </w:rPr>
              <w:t xml:space="preserve">------------- </w:t>
            </w:r>
          </w:p>
          <w:p w:rsidR="008C65E0" w:rsidRPr="00A205BE" w:rsidRDefault="008F7079">
            <w:pPr>
              <w:jc w:val="center"/>
              <w:rPr>
                <w:sz w:val="20"/>
              </w:rPr>
            </w:pPr>
            <w:r w:rsidRPr="00A205BE">
              <w:rPr>
                <w:sz w:val="20"/>
              </w:rPr>
              <w:t>ф.1 р.1300</w:t>
            </w:r>
            <w:r w:rsidR="008C65E0" w:rsidRPr="00A205BE">
              <w:rPr>
                <w:sz w:val="20"/>
              </w:rPr>
              <w:t xml:space="preserve"> </w:t>
            </w:r>
          </w:p>
        </w:tc>
        <w:tc>
          <w:tcPr>
            <w:tcW w:w="992" w:type="dxa"/>
            <w:shd w:val="clear" w:color="auto" w:fill="auto"/>
            <w:vAlign w:val="center"/>
          </w:tcPr>
          <w:p w:rsidR="008C65E0" w:rsidRPr="00A205BE" w:rsidRDefault="008C65E0">
            <w:pPr>
              <w:jc w:val="center"/>
              <w:rPr>
                <w:sz w:val="20"/>
              </w:rPr>
            </w:pPr>
            <w:r w:rsidRPr="00A205BE">
              <w:rPr>
                <w:sz w:val="20"/>
                <w:lang w:val="en-US"/>
              </w:rPr>
              <w:t xml:space="preserve"> </w:t>
            </w:r>
            <w:r w:rsidRPr="00A205BE">
              <w:rPr>
                <w:sz w:val="20"/>
              </w:rPr>
              <w:t>0,5</w:t>
            </w:r>
          </w:p>
        </w:tc>
        <w:tc>
          <w:tcPr>
            <w:tcW w:w="1427" w:type="dxa"/>
            <w:shd w:val="clear" w:color="auto" w:fill="auto"/>
            <w:vAlign w:val="center"/>
          </w:tcPr>
          <w:p w:rsidR="008C65E0" w:rsidRPr="00A205BE" w:rsidRDefault="00E00A6A" w:rsidP="001155B4">
            <w:pPr>
              <w:jc w:val="center"/>
              <w:rPr>
                <w:sz w:val="20"/>
                <w:lang w:val="ru-RU"/>
              </w:rPr>
            </w:pPr>
            <w:r>
              <w:rPr>
                <w:sz w:val="20"/>
                <w:lang w:val="ru-RU"/>
              </w:rPr>
              <w:t>0,93</w:t>
            </w:r>
          </w:p>
        </w:tc>
      </w:tr>
      <w:tr w:rsidR="008C65E0" w:rsidRPr="00A205BE">
        <w:trPr>
          <w:cantSplit/>
        </w:trPr>
        <w:tc>
          <w:tcPr>
            <w:tcW w:w="4111" w:type="dxa"/>
            <w:shd w:val="clear" w:color="auto" w:fill="auto"/>
          </w:tcPr>
          <w:p w:rsidR="008C65E0" w:rsidRPr="00A205BE" w:rsidRDefault="007370AA" w:rsidP="007370AA">
            <w:pPr>
              <w:jc w:val="both"/>
              <w:rPr>
                <w:b/>
                <w:sz w:val="20"/>
              </w:rPr>
            </w:pPr>
            <w:r w:rsidRPr="00A205BE">
              <w:rPr>
                <w:b/>
                <w:sz w:val="20"/>
                <w:lang w:val="ru-RU"/>
              </w:rPr>
              <w:t xml:space="preserve">1.3 </w:t>
            </w:r>
            <w:r w:rsidR="008C65E0" w:rsidRPr="00A205BE">
              <w:rPr>
                <w:b/>
                <w:sz w:val="20"/>
              </w:rPr>
              <w:t>Коефіцієнт структури капіталу</w:t>
            </w:r>
          </w:p>
          <w:p w:rsidR="008C65E0" w:rsidRPr="00A205BE" w:rsidRDefault="008C65E0">
            <w:pPr>
              <w:jc w:val="both"/>
              <w:rPr>
                <w:sz w:val="20"/>
              </w:rPr>
            </w:pPr>
            <w:r w:rsidRPr="00A205BE">
              <w:rPr>
                <w:sz w:val="20"/>
              </w:rPr>
              <w:t>Показує співвідношення залучених і власних коштів</w:t>
            </w:r>
          </w:p>
        </w:tc>
        <w:tc>
          <w:tcPr>
            <w:tcW w:w="3686" w:type="dxa"/>
            <w:shd w:val="clear" w:color="auto" w:fill="auto"/>
            <w:vAlign w:val="center"/>
          </w:tcPr>
          <w:p w:rsidR="008C65E0" w:rsidRPr="00A205BE" w:rsidRDefault="008C65E0" w:rsidP="008F7079">
            <w:pPr>
              <w:jc w:val="center"/>
              <w:rPr>
                <w:sz w:val="20"/>
              </w:rPr>
            </w:pPr>
            <w:r w:rsidRPr="00A205BE">
              <w:rPr>
                <w:sz w:val="20"/>
              </w:rPr>
              <w:t>ф.1 (р.</w:t>
            </w:r>
            <w:r w:rsidR="008F7079" w:rsidRPr="00A205BE">
              <w:rPr>
                <w:sz w:val="20"/>
              </w:rPr>
              <w:t>1595</w:t>
            </w:r>
            <w:r w:rsidRPr="00A205BE">
              <w:rPr>
                <w:sz w:val="20"/>
              </w:rPr>
              <w:t xml:space="preserve"> + р.</w:t>
            </w:r>
            <w:r w:rsidR="008F7079" w:rsidRPr="00A205BE">
              <w:rPr>
                <w:sz w:val="20"/>
              </w:rPr>
              <w:t>1695</w:t>
            </w:r>
            <w:r w:rsidRPr="00A205BE">
              <w:rPr>
                <w:sz w:val="20"/>
              </w:rPr>
              <w:t>)</w:t>
            </w:r>
          </w:p>
          <w:p w:rsidR="008C65E0" w:rsidRPr="00A205BE" w:rsidRDefault="008C65E0">
            <w:pPr>
              <w:jc w:val="center"/>
              <w:rPr>
                <w:sz w:val="20"/>
              </w:rPr>
            </w:pPr>
            <w:r w:rsidRPr="00A205BE">
              <w:rPr>
                <w:sz w:val="20"/>
              </w:rPr>
              <w:t xml:space="preserve">---------------------------- </w:t>
            </w:r>
          </w:p>
          <w:p w:rsidR="008C65E0" w:rsidRPr="00A205BE" w:rsidRDefault="008C65E0">
            <w:pPr>
              <w:jc w:val="center"/>
              <w:rPr>
                <w:sz w:val="20"/>
              </w:rPr>
            </w:pPr>
            <w:r w:rsidRPr="00A205BE">
              <w:rPr>
                <w:sz w:val="20"/>
              </w:rPr>
              <w:t>ф.1 р.</w:t>
            </w:r>
            <w:r w:rsidR="008F7079" w:rsidRPr="00A205BE">
              <w:rPr>
                <w:sz w:val="20"/>
              </w:rPr>
              <w:t>1495</w:t>
            </w:r>
            <w:r w:rsidRPr="00A205BE">
              <w:rPr>
                <w:sz w:val="20"/>
              </w:rPr>
              <w:t xml:space="preserve"> </w:t>
            </w:r>
          </w:p>
        </w:tc>
        <w:tc>
          <w:tcPr>
            <w:tcW w:w="992" w:type="dxa"/>
            <w:shd w:val="clear" w:color="auto" w:fill="auto"/>
            <w:vAlign w:val="center"/>
          </w:tcPr>
          <w:p w:rsidR="008C65E0" w:rsidRPr="00A205BE" w:rsidRDefault="008C65E0">
            <w:pPr>
              <w:jc w:val="center"/>
              <w:rPr>
                <w:sz w:val="20"/>
                <w:lang w:val="en-US"/>
              </w:rPr>
            </w:pPr>
            <w:r w:rsidRPr="00A205BE">
              <w:rPr>
                <w:sz w:val="20"/>
                <w:lang w:val="en-US"/>
              </w:rPr>
              <w:t>0,5 –1</w:t>
            </w:r>
          </w:p>
        </w:tc>
        <w:tc>
          <w:tcPr>
            <w:tcW w:w="1427" w:type="dxa"/>
            <w:shd w:val="clear" w:color="auto" w:fill="auto"/>
            <w:vAlign w:val="center"/>
          </w:tcPr>
          <w:p w:rsidR="008C65E0" w:rsidRPr="00A205BE" w:rsidRDefault="00E00A6A" w:rsidP="001155B4">
            <w:pPr>
              <w:jc w:val="center"/>
              <w:rPr>
                <w:sz w:val="20"/>
                <w:lang w:val="ru-RU"/>
              </w:rPr>
            </w:pPr>
            <w:r>
              <w:rPr>
                <w:sz w:val="20"/>
                <w:lang w:val="ru-RU"/>
              </w:rPr>
              <w:t>0,074</w:t>
            </w:r>
          </w:p>
        </w:tc>
      </w:tr>
      <w:tr w:rsidR="008C65E0" w:rsidRPr="00A205BE">
        <w:trPr>
          <w:cantSplit/>
        </w:trPr>
        <w:tc>
          <w:tcPr>
            <w:tcW w:w="4111" w:type="dxa"/>
            <w:shd w:val="clear" w:color="auto" w:fill="auto"/>
          </w:tcPr>
          <w:p w:rsidR="008C65E0" w:rsidRPr="00A205BE" w:rsidRDefault="008C65E0">
            <w:pPr>
              <w:rPr>
                <w:b/>
                <w:sz w:val="20"/>
              </w:rPr>
            </w:pPr>
            <w:r w:rsidRPr="00A205BE">
              <w:rPr>
                <w:b/>
                <w:sz w:val="20"/>
              </w:rPr>
              <w:t>1.</w:t>
            </w:r>
            <w:r w:rsidR="00C20E49">
              <w:rPr>
                <w:b/>
                <w:sz w:val="20"/>
                <w:lang w:val="ru-RU"/>
              </w:rPr>
              <w:t>4</w:t>
            </w:r>
            <w:r w:rsidRPr="00A205BE">
              <w:rPr>
                <w:b/>
                <w:sz w:val="20"/>
              </w:rPr>
              <w:t>. Коефіцієнт покриття зобов’язань власним капіталом.</w:t>
            </w:r>
          </w:p>
          <w:p w:rsidR="008C65E0" w:rsidRPr="00A205BE" w:rsidRDefault="008C65E0">
            <w:pPr>
              <w:jc w:val="both"/>
              <w:rPr>
                <w:sz w:val="20"/>
              </w:rPr>
            </w:pPr>
            <w:r w:rsidRPr="00A205BE">
              <w:rPr>
                <w:sz w:val="20"/>
              </w:rPr>
              <w:t xml:space="preserve">Показує співвідношення власних коштів і зобов’язань </w:t>
            </w:r>
          </w:p>
        </w:tc>
        <w:tc>
          <w:tcPr>
            <w:tcW w:w="3686" w:type="dxa"/>
            <w:shd w:val="clear" w:color="auto" w:fill="auto"/>
            <w:vAlign w:val="center"/>
          </w:tcPr>
          <w:p w:rsidR="008C65E0" w:rsidRPr="00A205BE" w:rsidRDefault="008C65E0" w:rsidP="008F7079">
            <w:pPr>
              <w:jc w:val="center"/>
              <w:rPr>
                <w:sz w:val="20"/>
              </w:rPr>
            </w:pPr>
            <w:r w:rsidRPr="00A205BE">
              <w:rPr>
                <w:sz w:val="20"/>
              </w:rPr>
              <w:t>ф.1 р.</w:t>
            </w:r>
            <w:r w:rsidR="008F7079" w:rsidRPr="00A205BE">
              <w:rPr>
                <w:sz w:val="20"/>
              </w:rPr>
              <w:t>1495</w:t>
            </w:r>
          </w:p>
          <w:p w:rsidR="008C65E0" w:rsidRPr="00A205BE" w:rsidRDefault="008C65E0">
            <w:pPr>
              <w:jc w:val="center"/>
              <w:rPr>
                <w:sz w:val="20"/>
              </w:rPr>
            </w:pPr>
            <w:r w:rsidRPr="00A205BE">
              <w:rPr>
                <w:sz w:val="20"/>
              </w:rPr>
              <w:t xml:space="preserve">---------------------------- </w:t>
            </w:r>
          </w:p>
          <w:p w:rsidR="008C65E0" w:rsidRPr="00A205BE" w:rsidRDefault="008C65E0">
            <w:pPr>
              <w:jc w:val="center"/>
              <w:rPr>
                <w:sz w:val="20"/>
              </w:rPr>
            </w:pPr>
            <w:r w:rsidRPr="00A205BE">
              <w:rPr>
                <w:sz w:val="20"/>
              </w:rPr>
              <w:t>ф.1 (р.</w:t>
            </w:r>
            <w:r w:rsidR="008F7079" w:rsidRPr="00A205BE">
              <w:rPr>
                <w:sz w:val="20"/>
              </w:rPr>
              <w:t>1595</w:t>
            </w:r>
            <w:r w:rsidRPr="00A205BE">
              <w:rPr>
                <w:sz w:val="20"/>
              </w:rPr>
              <w:t xml:space="preserve"> + р.</w:t>
            </w:r>
            <w:r w:rsidR="008F7079" w:rsidRPr="00A205BE">
              <w:rPr>
                <w:sz w:val="20"/>
              </w:rPr>
              <w:t>1695</w:t>
            </w:r>
            <w:r w:rsidRPr="00A205BE">
              <w:rPr>
                <w:sz w:val="20"/>
              </w:rPr>
              <w:t xml:space="preserve">)  </w:t>
            </w:r>
          </w:p>
        </w:tc>
        <w:tc>
          <w:tcPr>
            <w:tcW w:w="992" w:type="dxa"/>
            <w:shd w:val="clear" w:color="auto" w:fill="auto"/>
            <w:vAlign w:val="center"/>
          </w:tcPr>
          <w:p w:rsidR="008C65E0" w:rsidRPr="00A205BE" w:rsidRDefault="008C65E0">
            <w:pPr>
              <w:jc w:val="center"/>
              <w:rPr>
                <w:sz w:val="20"/>
                <w:lang w:val="en-US"/>
              </w:rPr>
            </w:pPr>
            <w:r w:rsidRPr="00A205BE">
              <w:rPr>
                <w:sz w:val="20"/>
                <w:lang w:val="en-US"/>
              </w:rPr>
              <w:t>1 - 2</w:t>
            </w:r>
          </w:p>
        </w:tc>
        <w:tc>
          <w:tcPr>
            <w:tcW w:w="1427" w:type="dxa"/>
            <w:shd w:val="clear" w:color="auto" w:fill="auto"/>
            <w:vAlign w:val="center"/>
          </w:tcPr>
          <w:p w:rsidR="008C65E0" w:rsidRPr="00A205BE" w:rsidRDefault="00E00A6A" w:rsidP="008C65E0">
            <w:pPr>
              <w:jc w:val="center"/>
              <w:rPr>
                <w:sz w:val="20"/>
                <w:lang w:val="ru-RU"/>
              </w:rPr>
            </w:pPr>
            <w:r>
              <w:rPr>
                <w:sz w:val="20"/>
                <w:lang w:val="ru-RU"/>
              </w:rPr>
              <w:t>13,6</w:t>
            </w:r>
          </w:p>
        </w:tc>
      </w:tr>
    </w:tbl>
    <w:p w:rsidR="00296070" w:rsidRPr="00DE398A" w:rsidRDefault="00296070">
      <w:pPr>
        <w:pStyle w:val="a9"/>
        <w:tabs>
          <w:tab w:val="clear" w:pos="4153"/>
          <w:tab w:val="clear" w:pos="8306"/>
        </w:tabs>
        <w:ind w:firstLine="567"/>
        <w:jc w:val="both"/>
        <w:rPr>
          <w:sz w:val="22"/>
          <w:szCs w:val="22"/>
        </w:rPr>
      </w:pPr>
    </w:p>
    <w:p w:rsidR="00C3668F" w:rsidRDefault="00447762" w:rsidP="008F7079">
      <w:pPr>
        <w:pStyle w:val="a9"/>
        <w:tabs>
          <w:tab w:val="clear" w:pos="4153"/>
          <w:tab w:val="clear" w:pos="8306"/>
        </w:tabs>
        <w:ind w:firstLine="567"/>
        <w:jc w:val="both"/>
        <w:rPr>
          <w:sz w:val="22"/>
          <w:szCs w:val="22"/>
          <w:lang w:val="ru-RU"/>
        </w:rPr>
      </w:pPr>
      <w:r w:rsidRPr="00DE398A">
        <w:rPr>
          <w:sz w:val="22"/>
          <w:szCs w:val="22"/>
        </w:rPr>
        <w:t>Товариством  порушено економічні нормативи платоспроможності та фінансової стійкості</w:t>
      </w:r>
      <w:r w:rsidR="008F7079" w:rsidRPr="00DE398A">
        <w:rPr>
          <w:sz w:val="22"/>
          <w:szCs w:val="22"/>
        </w:rPr>
        <w:t xml:space="preserve">. </w:t>
      </w:r>
    </w:p>
    <w:p w:rsidR="00A722B8" w:rsidRPr="00A722B8" w:rsidRDefault="00A722B8" w:rsidP="008F7079">
      <w:pPr>
        <w:pStyle w:val="a9"/>
        <w:tabs>
          <w:tab w:val="clear" w:pos="4153"/>
          <w:tab w:val="clear" w:pos="8306"/>
        </w:tabs>
        <w:ind w:firstLine="567"/>
        <w:jc w:val="both"/>
        <w:rPr>
          <w:sz w:val="16"/>
          <w:szCs w:val="16"/>
          <w:lang w:val="ru-RU"/>
        </w:rPr>
      </w:pPr>
    </w:p>
    <w:p w:rsidR="00C3668F" w:rsidRPr="00DE398A" w:rsidRDefault="00B71756" w:rsidP="00C3668F">
      <w:pPr>
        <w:rPr>
          <w:b/>
          <w:iCs/>
          <w:sz w:val="22"/>
          <w:szCs w:val="22"/>
        </w:rPr>
      </w:pPr>
      <w:r w:rsidRPr="00DE398A">
        <w:rPr>
          <w:b/>
          <w:iCs/>
          <w:sz w:val="22"/>
          <w:szCs w:val="22"/>
        </w:rPr>
        <w:t xml:space="preserve">10. </w:t>
      </w:r>
      <w:r w:rsidR="00C3668F" w:rsidRPr="00DE398A">
        <w:rPr>
          <w:b/>
          <w:iCs/>
          <w:sz w:val="22"/>
          <w:szCs w:val="22"/>
        </w:rPr>
        <w:t>Стан корпоративного управління</w:t>
      </w:r>
      <w:r w:rsidR="00FA6455">
        <w:rPr>
          <w:b/>
          <w:iCs/>
          <w:sz w:val="22"/>
          <w:szCs w:val="22"/>
        </w:rPr>
        <w:t>,</w:t>
      </w:r>
      <w:r w:rsidR="00C3668F" w:rsidRPr="00DE398A">
        <w:rPr>
          <w:b/>
          <w:iCs/>
          <w:sz w:val="22"/>
          <w:szCs w:val="22"/>
        </w:rPr>
        <w:t xml:space="preserve"> в тому числі внутрішнього контролю і аудиту</w:t>
      </w:r>
    </w:p>
    <w:p w:rsidR="00C3668F" w:rsidRPr="00DE398A" w:rsidRDefault="00C3668F" w:rsidP="00D566A2">
      <w:pPr>
        <w:ind w:firstLine="567"/>
        <w:jc w:val="both"/>
        <w:rPr>
          <w:sz w:val="22"/>
          <w:szCs w:val="22"/>
        </w:rPr>
      </w:pPr>
      <w:r w:rsidRPr="00DE398A">
        <w:rPr>
          <w:sz w:val="22"/>
          <w:szCs w:val="22"/>
        </w:rPr>
        <w:t xml:space="preserve">Товариство провадить свою діяльність відповідно до Цивільного кодексу України, Господарського кодексу України, чинного законодавства України, нормативно-правових актів Національної комісії, </w:t>
      </w:r>
      <w:r w:rsidRPr="00DE398A">
        <w:rPr>
          <w:bCs/>
          <w:sz w:val="22"/>
          <w:szCs w:val="22"/>
        </w:rPr>
        <w:t>що здійснює регулювання ринків фінансових послуг,</w:t>
      </w:r>
      <w:r w:rsidRPr="00DE398A">
        <w:rPr>
          <w:sz w:val="22"/>
          <w:szCs w:val="22"/>
        </w:rPr>
        <w:t xml:space="preserve"> </w:t>
      </w:r>
      <w:r w:rsidR="00D566A2">
        <w:rPr>
          <w:sz w:val="22"/>
          <w:szCs w:val="22"/>
        </w:rPr>
        <w:t xml:space="preserve">Засновницького договору </w:t>
      </w:r>
      <w:r w:rsidRPr="00DE398A">
        <w:rPr>
          <w:sz w:val="22"/>
          <w:szCs w:val="22"/>
        </w:rPr>
        <w:t>та внутрішніх документів Товариства.</w:t>
      </w:r>
    </w:p>
    <w:p w:rsidR="00C3668F" w:rsidRPr="00DE398A" w:rsidRDefault="00C3668F" w:rsidP="00C3668F">
      <w:pPr>
        <w:pStyle w:val="WW-31"/>
        <w:jc w:val="both"/>
        <w:rPr>
          <w:rFonts w:ascii="Times New Roman" w:hAnsi="Times New Roman"/>
          <w:i/>
          <w:sz w:val="22"/>
          <w:szCs w:val="22"/>
        </w:rPr>
      </w:pPr>
      <w:r w:rsidRPr="00DE398A">
        <w:rPr>
          <w:rFonts w:ascii="Times New Roman" w:hAnsi="Times New Roman"/>
          <w:sz w:val="22"/>
          <w:szCs w:val="22"/>
        </w:rPr>
        <w:t>У відповідності до цих документів органами управління Товариства є:</w:t>
      </w:r>
    </w:p>
    <w:p w:rsidR="00C3668F" w:rsidRPr="00DE398A" w:rsidRDefault="00C3668F" w:rsidP="0047409C">
      <w:pPr>
        <w:numPr>
          <w:ilvl w:val="0"/>
          <w:numId w:val="25"/>
        </w:numPr>
        <w:rPr>
          <w:sz w:val="22"/>
          <w:szCs w:val="22"/>
        </w:rPr>
      </w:pPr>
      <w:r w:rsidRPr="00DE398A">
        <w:rPr>
          <w:sz w:val="22"/>
          <w:szCs w:val="22"/>
        </w:rPr>
        <w:t xml:space="preserve"> Загальні збори </w:t>
      </w:r>
      <w:r w:rsidR="0047409C" w:rsidRPr="00DE398A">
        <w:rPr>
          <w:sz w:val="22"/>
          <w:szCs w:val="22"/>
        </w:rPr>
        <w:t>учасників</w:t>
      </w:r>
      <w:r w:rsidRPr="00DE398A">
        <w:rPr>
          <w:sz w:val="22"/>
          <w:szCs w:val="22"/>
        </w:rPr>
        <w:t>;</w:t>
      </w:r>
    </w:p>
    <w:p w:rsidR="00C3668F" w:rsidRPr="00DE398A" w:rsidRDefault="00C3668F" w:rsidP="00FD1DA0">
      <w:pPr>
        <w:numPr>
          <w:ilvl w:val="0"/>
          <w:numId w:val="25"/>
        </w:numPr>
        <w:rPr>
          <w:sz w:val="22"/>
          <w:szCs w:val="22"/>
        </w:rPr>
      </w:pPr>
      <w:r w:rsidRPr="00DE398A">
        <w:rPr>
          <w:sz w:val="22"/>
          <w:szCs w:val="22"/>
        </w:rPr>
        <w:t xml:space="preserve"> </w:t>
      </w:r>
      <w:r w:rsidR="00A722B8">
        <w:rPr>
          <w:sz w:val="22"/>
          <w:szCs w:val="22"/>
          <w:lang w:val="ru-RU"/>
        </w:rPr>
        <w:t>Голова</w:t>
      </w:r>
      <w:r w:rsidRPr="00DE398A">
        <w:rPr>
          <w:sz w:val="22"/>
          <w:szCs w:val="22"/>
        </w:rPr>
        <w:t xml:space="preserve"> Товариства.</w:t>
      </w:r>
    </w:p>
    <w:p w:rsidR="00C3668F" w:rsidRDefault="00C3668F" w:rsidP="0047409C">
      <w:pPr>
        <w:ind w:firstLine="540"/>
        <w:jc w:val="both"/>
        <w:rPr>
          <w:bCs/>
          <w:sz w:val="22"/>
          <w:szCs w:val="22"/>
          <w:lang w:val="ru-RU"/>
        </w:rPr>
      </w:pPr>
      <w:r w:rsidRPr="00DE398A">
        <w:rPr>
          <w:bCs/>
          <w:sz w:val="22"/>
          <w:szCs w:val="22"/>
        </w:rPr>
        <w:t xml:space="preserve">Вищим органом управління Товариства є Загальні збори </w:t>
      </w:r>
      <w:r w:rsidR="0047409C" w:rsidRPr="00DE398A">
        <w:rPr>
          <w:bCs/>
          <w:sz w:val="22"/>
          <w:szCs w:val="22"/>
        </w:rPr>
        <w:t>учасників</w:t>
      </w:r>
      <w:r w:rsidRPr="00DE398A">
        <w:rPr>
          <w:bCs/>
          <w:sz w:val="22"/>
          <w:szCs w:val="22"/>
        </w:rPr>
        <w:t xml:space="preserve">. </w:t>
      </w:r>
      <w:r w:rsidRPr="00DE398A">
        <w:rPr>
          <w:sz w:val="22"/>
          <w:szCs w:val="22"/>
        </w:rPr>
        <w:t xml:space="preserve">Загальні збори </w:t>
      </w:r>
      <w:r w:rsidR="0047409C" w:rsidRPr="00DE398A">
        <w:rPr>
          <w:sz w:val="22"/>
          <w:szCs w:val="22"/>
        </w:rPr>
        <w:t xml:space="preserve">учасників </w:t>
      </w:r>
      <w:r w:rsidRPr="00DE398A">
        <w:rPr>
          <w:sz w:val="22"/>
          <w:szCs w:val="22"/>
        </w:rPr>
        <w:t>можуть вирішувати будь-які питання діяльності Товариства.</w:t>
      </w:r>
      <w:r w:rsidRPr="00DE398A">
        <w:rPr>
          <w:bCs/>
          <w:sz w:val="22"/>
          <w:szCs w:val="22"/>
        </w:rPr>
        <w:t xml:space="preserve"> </w:t>
      </w:r>
    </w:p>
    <w:p w:rsidR="001316D2" w:rsidRPr="00617F3D" w:rsidRDefault="001316D2" w:rsidP="001316D2">
      <w:pPr>
        <w:shd w:val="clear" w:color="auto" w:fill="FFFFFF"/>
        <w:tabs>
          <w:tab w:val="left" w:pos="10490"/>
        </w:tabs>
        <w:jc w:val="both"/>
        <w:rPr>
          <w:bCs/>
          <w:szCs w:val="24"/>
        </w:rPr>
      </w:pPr>
      <w:r>
        <w:rPr>
          <w:szCs w:val="24"/>
        </w:rPr>
        <w:t xml:space="preserve">         </w:t>
      </w:r>
      <w:r w:rsidRPr="002B4B00">
        <w:rPr>
          <w:szCs w:val="24"/>
        </w:rPr>
        <w:t>Відповідно до частини першої статті 15</w:t>
      </w:r>
      <w:r w:rsidRPr="002B4B00">
        <w:rPr>
          <w:szCs w:val="24"/>
          <w:vertAlign w:val="superscript"/>
        </w:rPr>
        <w:t>1</w:t>
      </w:r>
      <w:r w:rsidRPr="002B4B00">
        <w:rPr>
          <w:szCs w:val="24"/>
        </w:rPr>
        <w:t xml:space="preserve"> Закону України </w:t>
      </w:r>
      <w:r w:rsidRPr="00CA3C31">
        <w:rPr>
          <w:szCs w:val="24"/>
        </w:rPr>
        <w:t xml:space="preserve"> </w:t>
      </w:r>
      <w:r w:rsidRPr="002B4B00">
        <w:rPr>
          <w:szCs w:val="24"/>
        </w:rPr>
        <w:t>«Про фінансові послуги та державне регулювання ринків фінансових послуг», та враховуючи  «</w:t>
      </w:r>
      <w:r w:rsidRPr="002B4B00">
        <w:rPr>
          <w:rStyle w:val="rvts23"/>
          <w:bCs/>
          <w:color w:val="000000"/>
          <w:szCs w:val="24"/>
          <w:bdr w:val="none" w:sz="0" w:space="0" w:color="auto" w:frame="1"/>
        </w:rPr>
        <w:t>Порядок проведення внутрішнього аудиту (контролю) у фінансових установах</w:t>
      </w:r>
      <w:r w:rsidRPr="002B4B00">
        <w:rPr>
          <w:color w:val="000000"/>
          <w:szCs w:val="24"/>
          <w:lang w:eastAsia="uk-UA"/>
        </w:rPr>
        <w:t xml:space="preserve">», затверджений </w:t>
      </w:r>
      <w:r w:rsidRPr="002B4B00">
        <w:rPr>
          <w:rStyle w:val="rvts9"/>
          <w:bCs/>
          <w:color w:val="000000"/>
          <w:szCs w:val="24"/>
          <w:bdr w:val="none" w:sz="0" w:space="0" w:color="auto" w:frame="1"/>
        </w:rPr>
        <w:t>Розпорядження</w:t>
      </w:r>
      <w:r>
        <w:rPr>
          <w:rStyle w:val="rvts9"/>
          <w:bCs/>
          <w:color w:val="000000"/>
          <w:szCs w:val="24"/>
          <w:bdr w:val="none" w:sz="0" w:space="0" w:color="auto" w:frame="1"/>
        </w:rPr>
        <w:t>м</w:t>
      </w:r>
      <w:r w:rsidRPr="002B4B00">
        <w:rPr>
          <w:rStyle w:val="rvts9"/>
          <w:bCs/>
          <w:color w:val="000000"/>
          <w:szCs w:val="24"/>
          <w:bdr w:val="none" w:sz="0" w:space="0" w:color="auto" w:frame="1"/>
        </w:rPr>
        <w:t xml:space="preserve"> Національної</w:t>
      </w:r>
      <w:r w:rsidRPr="002B4B00">
        <w:rPr>
          <w:rStyle w:val="apple-converted-space"/>
          <w:szCs w:val="24"/>
        </w:rPr>
        <w:t> </w:t>
      </w:r>
      <w:r w:rsidRPr="002B4B00">
        <w:rPr>
          <w:szCs w:val="24"/>
        </w:rPr>
        <w:t xml:space="preserve"> </w:t>
      </w:r>
      <w:r w:rsidRPr="002B4B00">
        <w:rPr>
          <w:rStyle w:val="rvts9"/>
          <w:bCs/>
          <w:color w:val="000000"/>
          <w:szCs w:val="24"/>
          <w:bdr w:val="none" w:sz="0" w:space="0" w:color="auto" w:frame="1"/>
        </w:rPr>
        <w:t>комісії, що здійснює державне</w:t>
      </w:r>
      <w:r w:rsidRPr="002B4B00">
        <w:rPr>
          <w:rStyle w:val="apple-converted-space"/>
          <w:szCs w:val="24"/>
        </w:rPr>
        <w:t xml:space="preserve">  </w:t>
      </w:r>
      <w:r>
        <w:rPr>
          <w:rStyle w:val="apple-converted-space"/>
          <w:szCs w:val="24"/>
        </w:rPr>
        <w:t>р</w:t>
      </w:r>
      <w:r w:rsidRPr="002B4B00">
        <w:rPr>
          <w:rStyle w:val="rvts9"/>
          <w:bCs/>
          <w:color w:val="000000"/>
          <w:szCs w:val="24"/>
          <w:bdr w:val="none" w:sz="0" w:space="0" w:color="auto" w:frame="1"/>
        </w:rPr>
        <w:t>егулювання у сфері ринків фінансових послуг</w:t>
      </w:r>
      <w:r w:rsidRPr="002B4B00">
        <w:rPr>
          <w:rStyle w:val="apple-converted-space"/>
          <w:szCs w:val="24"/>
        </w:rPr>
        <w:t> </w:t>
      </w:r>
      <w:r w:rsidRPr="002B4B00">
        <w:rPr>
          <w:color w:val="000000"/>
          <w:szCs w:val="24"/>
          <w:lang w:eastAsia="uk-UA"/>
        </w:rPr>
        <w:t xml:space="preserve"> України </w:t>
      </w:r>
      <w:r>
        <w:rPr>
          <w:color w:val="000000"/>
          <w:szCs w:val="24"/>
          <w:lang w:eastAsia="uk-UA"/>
        </w:rPr>
        <w:t xml:space="preserve">від </w:t>
      </w:r>
      <w:r w:rsidRPr="002B4B00">
        <w:rPr>
          <w:rStyle w:val="rvts9"/>
          <w:bCs/>
          <w:color w:val="000000"/>
          <w:szCs w:val="24"/>
          <w:bdr w:val="none" w:sz="0" w:space="0" w:color="auto" w:frame="1"/>
        </w:rPr>
        <w:t>05.06.2014  № 1772</w:t>
      </w:r>
      <w:r w:rsidRPr="002B4B00">
        <w:rPr>
          <w:color w:val="2A2928"/>
          <w:szCs w:val="24"/>
          <w:lang w:eastAsia="uk-UA"/>
        </w:rPr>
        <w:t xml:space="preserve">, </w:t>
      </w:r>
      <w:r w:rsidRPr="002B4B00">
        <w:rPr>
          <w:szCs w:val="24"/>
        </w:rPr>
        <w:t xml:space="preserve">для проведення внутрішнього аудиту (контролю) ломбарду,   </w:t>
      </w:r>
      <w:r w:rsidRPr="002B4B00">
        <w:rPr>
          <w:bCs/>
          <w:szCs w:val="24"/>
        </w:rPr>
        <w:t xml:space="preserve">обов’язки з проведення внутрішнього аудиту (контролю) покладені на окрему посадову особу. </w:t>
      </w:r>
      <w:r w:rsidRPr="00617F3D">
        <w:rPr>
          <w:bCs/>
          <w:szCs w:val="24"/>
        </w:rPr>
        <w:t xml:space="preserve">У ломбарді наявні необхідні документи, які підтверджують визначення окремої посадової особи та проведення нею внутрішнього аудиту, затверджене </w:t>
      </w:r>
      <w:r w:rsidRPr="00617F3D">
        <w:rPr>
          <w:color w:val="000000"/>
          <w:szCs w:val="24"/>
        </w:rPr>
        <w:t>Положення про службу внутрішнього аудиту (контролю)</w:t>
      </w:r>
      <w:r w:rsidRPr="001316D2">
        <w:rPr>
          <w:color w:val="000000"/>
          <w:szCs w:val="24"/>
        </w:rPr>
        <w:t xml:space="preserve"> </w:t>
      </w:r>
      <w:r w:rsidRPr="00617F3D">
        <w:rPr>
          <w:bCs/>
          <w:szCs w:val="24"/>
        </w:rPr>
        <w:t>в ломбарді.</w:t>
      </w:r>
    </w:p>
    <w:p w:rsidR="001316D2" w:rsidRPr="00010070" w:rsidRDefault="001316D2" w:rsidP="001316D2">
      <w:pPr>
        <w:ind w:firstLine="540"/>
        <w:jc w:val="both"/>
        <w:rPr>
          <w:sz w:val="22"/>
          <w:szCs w:val="22"/>
        </w:rPr>
      </w:pPr>
      <w:r w:rsidRPr="00010070">
        <w:rPr>
          <w:sz w:val="22"/>
          <w:szCs w:val="22"/>
        </w:rPr>
        <w:t>З метою перевірки і підтвердження правильності річної фінансової звітності Товариство щорічно залучає аудитора (аудиторську фірму).</w:t>
      </w:r>
    </w:p>
    <w:p w:rsidR="001316D2" w:rsidRPr="00DE398A" w:rsidRDefault="001316D2" w:rsidP="001316D2">
      <w:pPr>
        <w:pStyle w:val="WW-3"/>
        <w:jc w:val="both"/>
        <w:rPr>
          <w:sz w:val="22"/>
          <w:szCs w:val="22"/>
        </w:rPr>
      </w:pPr>
      <w:r w:rsidRPr="00DE398A">
        <w:rPr>
          <w:sz w:val="22"/>
          <w:szCs w:val="22"/>
        </w:rPr>
        <w:t>Аудитори вважають, що система управління Товариства є достатньо дієвою.</w:t>
      </w:r>
    </w:p>
    <w:p w:rsidR="001316D2" w:rsidRPr="001316D2" w:rsidRDefault="001316D2" w:rsidP="002F380E">
      <w:pPr>
        <w:pStyle w:val="a9"/>
        <w:tabs>
          <w:tab w:val="clear" w:pos="4153"/>
          <w:tab w:val="clear" w:pos="8306"/>
        </w:tabs>
        <w:spacing w:before="120" w:after="120"/>
        <w:jc w:val="center"/>
        <w:rPr>
          <w:b/>
          <w:sz w:val="22"/>
          <w:szCs w:val="22"/>
          <w:lang w:val="ru-RU"/>
        </w:rPr>
      </w:pPr>
    </w:p>
    <w:p w:rsidR="002F380E" w:rsidRPr="00DE398A" w:rsidRDefault="002F380E" w:rsidP="002F380E">
      <w:pPr>
        <w:pStyle w:val="a9"/>
        <w:tabs>
          <w:tab w:val="clear" w:pos="4153"/>
          <w:tab w:val="clear" w:pos="8306"/>
        </w:tabs>
        <w:spacing w:before="120" w:after="120"/>
        <w:jc w:val="center"/>
        <w:rPr>
          <w:b/>
          <w:sz w:val="22"/>
          <w:szCs w:val="22"/>
        </w:rPr>
      </w:pPr>
      <w:r w:rsidRPr="00DE398A">
        <w:rPr>
          <w:b/>
          <w:sz w:val="22"/>
          <w:szCs w:val="22"/>
        </w:rPr>
        <w:t>Загальний висновок</w:t>
      </w:r>
    </w:p>
    <w:p w:rsidR="001B24FF" w:rsidRPr="001B24FF" w:rsidRDefault="002F380E" w:rsidP="001B24FF">
      <w:pPr>
        <w:widowControl w:val="0"/>
        <w:autoSpaceDE w:val="0"/>
        <w:autoSpaceDN w:val="0"/>
        <w:adjustRightInd w:val="0"/>
        <w:ind w:firstLine="567"/>
        <w:jc w:val="both"/>
        <w:rPr>
          <w:sz w:val="22"/>
          <w:szCs w:val="22"/>
        </w:rPr>
      </w:pPr>
      <w:r w:rsidRPr="001B24FF">
        <w:rPr>
          <w:sz w:val="22"/>
          <w:szCs w:val="22"/>
        </w:rPr>
        <w:t>Ми вважаємо, що в процесі аудиту нами було зібрано достатньо доказів, щоб зробити наступний висновок:</w:t>
      </w:r>
      <w:r w:rsidR="001B24FF" w:rsidRPr="001B24FF">
        <w:rPr>
          <w:sz w:val="22"/>
          <w:szCs w:val="22"/>
        </w:rPr>
        <w:t xml:space="preserve"> </w:t>
      </w:r>
    </w:p>
    <w:p w:rsidR="001B24FF" w:rsidRPr="001B24FF" w:rsidRDefault="001B24FF" w:rsidP="001B24FF">
      <w:pPr>
        <w:widowControl w:val="0"/>
        <w:autoSpaceDE w:val="0"/>
        <w:autoSpaceDN w:val="0"/>
        <w:adjustRightInd w:val="0"/>
        <w:ind w:firstLine="567"/>
        <w:jc w:val="both"/>
        <w:rPr>
          <w:sz w:val="22"/>
          <w:szCs w:val="22"/>
        </w:rPr>
      </w:pPr>
      <w:r w:rsidRPr="001B24FF">
        <w:rPr>
          <w:sz w:val="22"/>
          <w:szCs w:val="22"/>
        </w:rPr>
        <w:t>Показники статей річного бухгалтерського балансу (Звіту про фінансовий стан) Товариства на 31.12.201</w:t>
      </w:r>
      <w:r w:rsidR="00E00A6A">
        <w:rPr>
          <w:sz w:val="22"/>
          <w:szCs w:val="22"/>
        </w:rPr>
        <w:t>5</w:t>
      </w:r>
      <w:r w:rsidRPr="001B24FF">
        <w:rPr>
          <w:sz w:val="22"/>
          <w:szCs w:val="22"/>
        </w:rPr>
        <w:t xml:space="preserve"> р. відповідають даним синтетичного обліку та існуючим нормативам бухгалтерського обліку, реально та точно відображають його фінансовий стан, їх достовірність та повнота може бути підтверджена.</w:t>
      </w:r>
    </w:p>
    <w:p w:rsidR="001B24FF" w:rsidRPr="001B24FF" w:rsidRDefault="001B24FF" w:rsidP="001B24FF">
      <w:pPr>
        <w:widowControl w:val="0"/>
        <w:autoSpaceDE w:val="0"/>
        <w:autoSpaceDN w:val="0"/>
        <w:adjustRightInd w:val="0"/>
        <w:ind w:firstLine="567"/>
        <w:jc w:val="both"/>
        <w:rPr>
          <w:sz w:val="22"/>
          <w:szCs w:val="22"/>
        </w:rPr>
      </w:pPr>
      <w:r w:rsidRPr="001B24FF">
        <w:rPr>
          <w:sz w:val="22"/>
          <w:szCs w:val="22"/>
        </w:rPr>
        <w:t>Показники фінансового стану Товариства відображені в синтетичному обліку адекватно, що дає підстави для підтвердження достовірності та повноти показників Звіту про фінансові результати (Звіту про сукупний дохід) та їх використання за 201</w:t>
      </w:r>
      <w:r w:rsidR="00E00A6A">
        <w:rPr>
          <w:sz w:val="22"/>
          <w:szCs w:val="22"/>
        </w:rPr>
        <w:t>5</w:t>
      </w:r>
      <w:r w:rsidRPr="001B24FF">
        <w:rPr>
          <w:sz w:val="22"/>
          <w:szCs w:val="22"/>
        </w:rPr>
        <w:t xml:space="preserve"> р.</w:t>
      </w:r>
    </w:p>
    <w:p w:rsidR="001B24FF" w:rsidRPr="001B24FF" w:rsidRDefault="001B24FF" w:rsidP="001B24FF">
      <w:pPr>
        <w:widowControl w:val="0"/>
        <w:autoSpaceDE w:val="0"/>
        <w:autoSpaceDN w:val="0"/>
        <w:adjustRightInd w:val="0"/>
        <w:ind w:firstLine="567"/>
        <w:jc w:val="both"/>
        <w:rPr>
          <w:sz w:val="22"/>
          <w:szCs w:val="22"/>
        </w:rPr>
      </w:pPr>
      <w:r>
        <w:rPr>
          <w:sz w:val="22"/>
          <w:szCs w:val="22"/>
        </w:rPr>
        <w:t>Попередня ф</w:t>
      </w:r>
      <w:r w:rsidRPr="001B24FF">
        <w:rPr>
          <w:sz w:val="22"/>
          <w:szCs w:val="22"/>
        </w:rPr>
        <w:t>інансова звітність Товариства включає:</w:t>
      </w:r>
    </w:p>
    <w:p w:rsidR="001B24FF" w:rsidRPr="001B24FF" w:rsidRDefault="001B24FF" w:rsidP="001B24FF">
      <w:pPr>
        <w:widowControl w:val="0"/>
        <w:numPr>
          <w:ilvl w:val="0"/>
          <w:numId w:val="27"/>
        </w:numPr>
        <w:tabs>
          <w:tab w:val="left" w:pos="720"/>
        </w:tabs>
        <w:autoSpaceDE w:val="0"/>
        <w:autoSpaceDN w:val="0"/>
        <w:adjustRightInd w:val="0"/>
        <w:jc w:val="both"/>
        <w:rPr>
          <w:sz w:val="22"/>
          <w:szCs w:val="22"/>
        </w:rPr>
      </w:pPr>
      <w:r w:rsidRPr="001B24FF">
        <w:rPr>
          <w:sz w:val="22"/>
          <w:szCs w:val="22"/>
        </w:rPr>
        <w:t>Баланс (Звіт про фінансовий стан) на 31.12.201</w:t>
      </w:r>
      <w:r w:rsidR="00E00A6A">
        <w:rPr>
          <w:sz w:val="22"/>
          <w:szCs w:val="22"/>
        </w:rPr>
        <w:t>5</w:t>
      </w:r>
      <w:r w:rsidRPr="001B24FF">
        <w:rPr>
          <w:sz w:val="22"/>
          <w:szCs w:val="22"/>
        </w:rPr>
        <w:t xml:space="preserve"> р.</w:t>
      </w:r>
    </w:p>
    <w:p w:rsidR="001B24FF" w:rsidRPr="001B24FF" w:rsidRDefault="001B24FF" w:rsidP="001B24FF">
      <w:pPr>
        <w:widowControl w:val="0"/>
        <w:numPr>
          <w:ilvl w:val="0"/>
          <w:numId w:val="27"/>
        </w:numPr>
        <w:tabs>
          <w:tab w:val="left" w:pos="720"/>
        </w:tabs>
        <w:autoSpaceDE w:val="0"/>
        <w:autoSpaceDN w:val="0"/>
        <w:adjustRightInd w:val="0"/>
        <w:jc w:val="both"/>
        <w:rPr>
          <w:sz w:val="22"/>
          <w:szCs w:val="22"/>
        </w:rPr>
      </w:pPr>
      <w:r w:rsidRPr="001B24FF">
        <w:rPr>
          <w:sz w:val="22"/>
          <w:szCs w:val="22"/>
        </w:rPr>
        <w:t>Звіт про фінансові результати (Звіту про сукупний дохід)  за 201</w:t>
      </w:r>
      <w:r w:rsidR="00E00A6A">
        <w:rPr>
          <w:sz w:val="22"/>
          <w:szCs w:val="22"/>
        </w:rPr>
        <w:t>5</w:t>
      </w:r>
      <w:r w:rsidRPr="001B24FF">
        <w:rPr>
          <w:sz w:val="22"/>
          <w:szCs w:val="22"/>
        </w:rPr>
        <w:t xml:space="preserve"> р.</w:t>
      </w:r>
    </w:p>
    <w:p w:rsidR="001B24FF" w:rsidRPr="001B24FF" w:rsidRDefault="001B24FF" w:rsidP="001B24FF">
      <w:pPr>
        <w:widowControl w:val="0"/>
        <w:numPr>
          <w:ilvl w:val="0"/>
          <w:numId w:val="27"/>
        </w:numPr>
        <w:tabs>
          <w:tab w:val="left" w:pos="720"/>
        </w:tabs>
        <w:autoSpaceDE w:val="0"/>
        <w:autoSpaceDN w:val="0"/>
        <w:adjustRightInd w:val="0"/>
        <w:jc w:val="both"/>
        <w:rPr>
          <w:sz w:val="22"/>
          <w:szCs w:val="22"/>
        </w:rPr>
      </w:pPr>
      <w:r w:rsidRPr="001B24FF">
        <w:rPr>
          <w:sz w:val="22"/>
          <w:szCs w:val="22"/>
        </w:rPr>
        <w:t>Звіт про рух грошових коштів (за прямим методом) за 201</w:t>
      </w:r>
      <w:r w:rsidR="00E00A6A">
        <w:rPr>
          <w:sz w:val="22"/>
          <w:szCs w:val="22"/>
        </w:rPr>
        <w:t>5</w:t>
      </w:r>
      <w:r w:rsidRPr="001B24FF">
        <w:rPr>
          <w:sz w:val="22"/>
          <w:szCs w:val="22"/>
        </w:rPr>
        <w:t xml:space="preserve"> р.</w:t>
      </w:r>
    </w:p>
    <w:p w:rsidR="001B24FF" w:rsidRPr="001B24FF" w:rsidRDefault="001B24FF" w:rsidP="001B24FF">
      <w:pPr>
        <w:widowControl w:val="0"/>
        <w:numPr>
          <w:ilvl w:val="0"/>
          <w:numId w:val="27"/>
        </w:numPr>
        <w:tabs>
          <w:tab w:val="left" w:pos="720"/>
        </w:tabs>
        <w:autoSpaceDE w:val="0"/>
        <w:autoSpaceDN w:val="0"/>
        <w:adjustRightInd w:val="0"/>
        <w:jc w:val="both"/>
        <w:rPr>
          <w:sz w:val="22"/>
          <w:szCs w:val="22"/>
        </w:rPr>
      </w:pPr>
      <w:r w:rsidRPr="001B24FF">
        <w:rPr>
          <w:sz w:val="22"/>
          <w:szCs w:val="22"/>
        </w:rPr>
        <w:t>Звіт про власний капітал за 201</w:t>
      </w:r>
      <w:r w:rsidR="00E00A6A">
        <w:rPr>
          <w:sz w:val="22"/>
          <w:szCs w:val="22"/>
        </w:rPr>
        <w:t>5</w:t>
      </w:r>
      <w:r w:rsidRPr="001B24FF">
        <w:rPr>
          <w:sz w:val="22"/>
          <w:szCs w:val="22"/>
        </w:rPr>
        <w:t xml:space="preserve"> р.</w:t>
      </w:r>
    </w:p>
    <w:p w:rsidR="001B24FF" w:rsidRPr="001B24FF" w:rsidRDefault="001B24FF" w:rsidP="001B24FF">
      <w:pPr>
        <w:widowControl w:val="0"/>
        <w:numPr>
          <w:ilvl w:val="0"/>
          <w:numId w:val="27"/>
        </w:numPr>
        <w:tabs>
          <w:tab w:val="left" w:pos="720"/>
        </w:tabs>
        <w:autoSpaceDE w:val="0"/>
        <w:autoSpaceDN w:val="0"/>
        <w:adjustRightInd w:val="0"/>
        <w:jc w:val="both"/>
        <w:rPr>
          <w:sz w:val="22"/>
          <w:szCs w:val="22"/>
        </w:rPr>
      </w:pPr>
      <w:r w:rsidRPr="001B24FF">
        <w:rPr>
          <w:sz w:val="22"/>
          <w:szCs w:val="22"/>
        </w:rPr>
        <w:t>Примітки до річної фінансової звітності за 201</w:t>
      </w:r>
      <w:r w:rsidR="00E00A6A">
        <w:rPr>
          <w:sz w:val="22"/>
          <w:szCs w:val="22"/>
        </w:rPr>
        <w:t>5</w:t>
      </w:r>
      <w:r w:rsidRPr="001B24FF">
        <w:rPr>
          <w:sz w:val="22"/>
          <w:szCs w:val="22"/>
        </w:rPr>
        <w:t xml:space="preserve"> рік.</w:t>
      </w:r>
    </w:p>
    <w:p w:rsidR="002F380E" w:rsidRPr="00DE398A" w:rsidRDefault="002F380E" w:rsidP="00E343C9">
      <w:pPr>
        <w:pStyle w:val="a9"/>
        <w:tabs>
          <w:tab w:val="left" w:pos="708"/>
        </w:tabs>
        <w:ind w:firstLine="567"/>
        <w:jc w:val="both"/>
        <w:rPr>
          <w:sz w:val="22"/>
          <w:szCs w:val="22"/>
        </w:rPr>
      </w:pPr>
    </w:p>
    <w:p w:rsidR="00C170D4" w:rsidRDefault="008966B7" w:rsidP="001155B4">
      <w:pPr>
        <w:pStyle w:val="a5"/>
        <w:spacing w:after="0"/>
        <w:ind w:left="40" w:right="40" w:firstLine="500"/>
        <w:jc w:val="both"/>
        <w:rPr>
          <w:sz w:val="22"/>
          <w:szCs w:val="22"/>
        </w:rPr>
      </w:pPr>
      <w:r w:rsidRPr="00DE398A">
        <w:rPr>
          <w:bCs/>
          <w:sz w:val="22"/>
          <w:szCs w:val="22"/>
          <w:lang w:eastAsia="uk-UA"/>
        </w:rPr>
        <w:t xml:space="preserve">На нашу </w:t>
      </w:r>
      <w:r w:rsidRPr="00345B93">
        <w:rPr>
          <w:bCs/>
          <w:sz w:val="22"/>
          <w:szCs w:val="22"/>
          <w:lang w:eastAsia="uk-UA"/>
        </w:rPr>
        <w:t xml:space="preserve">думку, </w:t>
      </w:r>
      <w:r w:rsidRPr="00345B93">
        <w:rPr>
          <w:sz w:val="22"/>
          <w:szCs w:val="22"/>
        </w:rPr>
        <w:t>за винятком впливу питання, викладеного у параграфі 4 «Підстава для висловлення умовно-позитивної думки»,</w:t>
      </w:r>
      <w:r>
        <w:rPr>
          <w:rFonts w:ascii="Times New Roman CYR" w:hAnsi="Times New Roman CYR" w:cs="Times New Roman CYR"/>
          <w:szCs w:val="24"/>
        </w:rPr>
        <w:t xml:space="preserve"> </w:t>
      </w:r>
      <w:r>
        <w:rPr>
          <w:sz w:val="22"/>
          <w:szCs w:val="22"/>
        </w:rPr>
        <w:t>п</w:t>
      </w:r>
      <w:r w:rsidR="0047409C" w:rsidRPr="00DE398A">
        <w:rPr>
          <w:sz w:val="22"/>
          <w:szCs w:val="22"/>
        </w:rPr>
        <w:t>опередня ф</w:t>
      </w:r>
      <w:r w:rsidR="002F380E" w:rsidRPr="00DE398A">
        <w:rPr>
          <w:sz w:val="22"/>
          <w:szCs w:val="22"/>
        </w:rPr>
        <w:t>інансова звітність</w:t>
      </w:r>
      <w:r w:rsidR="003D63F0" w:rsidRPr="003D63F0">
        <w:rPr>
          <w:b/>
          <w:color w:val="000000"/>
          <w:spacing w:val="2"/>
          <w:sz w:val="22"/>
          <w:szCs w:val="22"/>
        </w:rPr>
        <w:t xml:space="preserve"> </w:t>
      </w:r>
      <w:r w:rsidR="00C20E49" w:rsidRPr="009170A5">
        <w:rPr>
          <w:b/>
          <w:color w:val="000000"/>
          <w:spacing w:val="2"/>
          <w:sz w:val="22"/>
          <w:szCs w:val="22"/>
        </w:rPr>
        <w:t>повного</w:t>
      </w:r>
      <w:r w:rsidR="003D63F0" w:rsidRPr="009170A5">
        <w:rPr>
          <w:b/>
          <w:color w:val="000000"/>
          <w:spacing w:val="2"/>
          <w:sz w:val="22"/>
          <w:szCs w:val="22"/>
        </w:rPr>
        <w:t xml:space="preserve"> товариства </w:t>
      </w:r>
      <w:r w:rsidR="003D63F0" w:rsidRPr="009170A5">
        <w:rPr>
          <w:b/>
          <w:bCs/>
          <w:szCs w:val="24"/>
        </w:rPr>
        <w:t xml:space="preserve">« Ломбард « </w:t>
      </w:r>
      <w:proofErr w:type="spellStart"/>
      <w:r w:rsidR="003D63F0" w:rsidRPr="009170A5">
        <w:rPr>
          <w:b/>
          <w:bCs/>
          <w:szCs w:val="24"/>
          <w:lang w:val="ru-RU"/>
        </w:rPr>
        <w:t>Шелегон</w:t>
      </w:r>
      <w:proofErr w:type="spellEnd"/>
      <w:r w:rsidR="003D63F0" w:rsidRPr="009170A5">
        <w:rPr>
          <w:b/>
          <w:bCs/>
          <w:szCs w:val="24"/>
          <w:lang w:val="ru-RU"/>
        </w:rPr>
        <w:t xml:space="preserve"> </w:t>
      </w:r>
      <w:r w:rsidR="003D63F0" w:rsidRPr="009170A5">
        <w:rPr>
          <w:b/>
          <w:szCs w:val="24"/>
        </w:rPr>
        <w:t xml:space="preserve"> і компанія »</w:t>
      </w:r>
      <w:r w:rsidR="002F380E" w:rsidRPr="00DE398A">
        <w:rPr>
          <w:sz w:val="22"/>
          <w:szCs w:val="22"/>
        </w:rPr>
        <w:t xml:space="preserve"> </w:t>
      </w:r>
      <w:r>
        <w:rPr>
          <w:bCs/>
          <w:iCs/>
          <w:sz w:val="22"/>
          <w:szCs w:val="22"/>
        </w:rPr>
        <w:t xml:space="preserve"> </w:t>
      </w:r>
      <w:r w:rsidR="002F380E" w:rsidRPr="00DE398A">
        <w:rPr>
          <w:sz w:val="22"/>
          <w:szCs w:val="22"/>
        </w:rPr>
        <w:t xml:space="preserve">відображає правдиву і неупереджену по усіх суттєвих аспектах картину фінансового положення </w:t>
      </w:r>
      <w:r w:rsidR="00416588" w:rsidRPr="00DE398A">
        <w:rPr>
          <w:sz w:val="22"/>
          <w:szCs w:val="22"/>
        </w:rPr>
        <w:t xml:space="preserve">Товариства </w:t>
      </w:r>
      <w:r w:rsidR="002F380E" w:rsidRPr="00DE398A">
        <w:rPr>
          <w:sz w:val="22"/>
          <w:szCs w:val="22"/>
        </w:rPr>
        <w:t>станом на 31.12.20</w:t>
      </w:r>
      <w:r w:rsidR="00416588" w:rsidRPr="00DE398A">
        <w:rPr>
          <w:sz w:val="22"/>
          <w:szCs w:val="22"/>
        </w:rPr>
        <w:t>1</w:t>
      </w:r>
      <w:r w:rsidR="00E00A6A">
        <w:rPr>
          <w:sz w:val="22"/>
          <w:szCs w:val="22"/>
        </w:rPr>
        <w:t>5</w:t>
      </w:r>
      <w:r w:rsidR="002F380E" w:rsidRPr="00DE398A">
        <w:rPr>
          <w:sz w:val="22"/>
          <w:szCs w:val="22"/>
        </w:rPr>
        <w:t xml:space="preserve"> р., </w:t>
      </w:r>
      <w:r w:rsidR="0047409C" w:rsidRPr="00DE398A">
        <w:rPr>
          <w:bCs/>
          <w:iCs/>
          <w:sz w:val="22"/>
          <w:szCs w:val="22"/>
        </w:rPr>
        <w:t xml:space="preserve">а також результат його діяльності та рух грошових коштів за рік, що закінчився на вказану дату, згідно </w:t>
      </w:r>
      <w:r w:rsidR="001155B4">
        <w:rPr>
          <w:bCs/>
          <w:iCs/>
          <w:sz w:val="22"/>
          <w:szCs w:val="22"/>
        </w:rPr>
        <w:t xml:space="preserve">з МСФЗ та </w:t>
      </w:r>
      <w:r w:rsidR="0047409C" w:rsidRPr="00DE398A">
        <w:rPr>
          <w:sz w:val="22"/>
          <w:szCs w:val="22"/>
          <w:lang w:eastAsia="uk-UA"/>
        </w:rPr>
        <w:t>нормативними вимогами щодо бу</w:t>
      </w:r>
      <w:r w:rsidR="001155B4">
        <w:rPr>
          <w:sz w:val="22"/>
          <w:szCs w:val="22"/>
          <w:lang w:eastAsia="uk-UA"/>
        </w:rPr>
        <w:t>хгалтерського обліку в Україні.</w:t>
      </w:r>
    </w:p>
    <w:p w:rsidR="00296070" w:rsidRPr="009170A5" w:rsidRDefault="00296070" w:rsidP="00EF0DD1">
      <w:pPr>
        <w:pStyle w:val="a9"/>
        <w:rPr>
          <w:sz w:val="4"/>
          <w:szCs w:val="4"/>
          <w:lang w:val="ru-RU"/>
        </w:rPr>
      </w:pPr>
    </w:p>
    <w:p w:rsidR="00EF0DD1" w:rsidRPr="009170A5" w:rsidRDefault="00EF0DD1" w:rsidP="00EF0DD1">
      <w:pPr>
        <w:pStyle w:val="a9"/>
        <w:rPr>
          <w:sz w:val="4"/>
          <w:szCs w:val="4"/>
          <w:lang w:val="ru-RU"/>
        </w:rPr>
      </w:pPr>
    </w:p>
    <w:p w:rsidR="00EF0DD1" w:rsidRPr="009170A5" w:rsidRDefault="00EF0DD1" w:rsidP="00EF0DD1">
      <w:pPr>
        <w:pStyle w:val="a9"/>
        <w:rPr>
          <w:sz w:val="4"/>
          <w:szCs w:val="4"/>
          <w:lang w:val="ru-RU"/>
        </w:rPr>
      </w:pPr>
    </w:p>
    <w:p w:rsidR="00EF0DD1" w:rsidRPr="009170A5" w:rsidRDefault="00EF0DD1" w:rsidP="00EF0DD1">
      <w:pPr>
        <w:pStyle w:val="a9"/>
        <w:rPr>
          <w:sz w:val="4"/>
          <w:szCs w:val="4"/>
          <w:lang w:val="ru-RU"/>
        </w:rPr>
      </w:pPr>
    </w:p>
    <w:p w:rsidR="00EF0DD1" w:rsidRPr="009170A5" w:rsidRDefault="00EF0DD1" w:rsidP="00EF0DD1">
      <w:pPr>
        <w:pStyle w:val="a9"/>
        <w:rPr>
          <w:sz w:val="4"/>
          <w:szCs w:val="4"/>
          <w:lang w:val="ru-RU"/>
        </w:rPr>
      </w:pPr>
    </w:p>
    <w:p w:rsidR="00EF0DD1" w:rsidRPr="009170A5" w:rsidRDefault="00EF0DD1" w:rsidP="00EF0DD1">
      <w:pPr>
        <w:pStyle w:val="a9"/>
        <w:rPr>
          <w:sz w:val="4"/>
          <w:szCs w:val="4"/>
          <w:lang w:val="ru-RU"/>
        </w:rPr>
      </w:pPr>
    </w:p>
    <w:p w:rsidR="00FD002F" w:rsidRDefault="00FD002F" w:rsidP="00EF0DD1">
      <w:pPr>
        <w:tabs>
          <w:tab w:val="left" w:pos="6195"/>
        </w:tabs>
        <w:ind w:firstLine="540"/>
        <w:jc w:val="both"/>
        <w:rPr>
          <w:b/>
          <w:sz w:val="22"/>
          <w:szCs w:val="22"/>
        </w:rPr>
      </w:pPr>
    </w:p>
    <w:p w:rsidR="00E00A6A" w:rsidRDefault="00E00A6A" w:rsidP="00EF0DD1">
      <w:pPr>
        <w:tabs>
          <w:tab w:val="left" w:pos="6195"/>
        </w:tabs>
        <w:ind w:firstLine="540"/>
        <w:jc w:val="both"/>
        <w:rPr>
          <w:b/>
          <w:sz w:val="22"/>
          <w:szCs w:val="22"/>
        </w:rPr>
      </w:pPr>
    </w:p>
    <w:p w:rsidR="00E00A6A" w:rsidRDefault="00E00A6A" w:rsidP="00EF0DD1">
      <w:pPr>
        <w:tabs>
          <w:tab w:val="left" w:pos="6195"/>
        </w:tabs>
        <w:ind w:firstLine="540"/>
        <w:jc w:val="both"/>
        <w:rPr>
          <w:b/>
          <w:sz w:val="22"/>
          <w:szCs w:val="22"/>
        </w:rPr>
      </w:pPr>
    </w:p>
    <w:p w:rsidR="00E00A6A" w:rsidRDefault="00E00A6A" w:rsidP="00EF0DD1">
      <w:pPr>
        <w:tabs>
          <w:tab w:val="left" w:pos="6195"/>
        </w:tabs>
        <w:ind w:firstLine="540"/>
        <w:jc w:val="both"/>
        <w:rPr>
          <w:b/>
          <w:sz w:val="22"/>
          <w:szCs w:val="22"/>
        </w:rPr>
      </w:pPr>
    </w:p>
    <w:p w:rsidR="00E00A6A" w:rsidRDefault="00E00A6A" w:rsidP="00EF0DD1">
      <w:pPr>
        <w:tabs>
          <w:tab w:val="left" w:pos="6195"/>
        </w:tabs>
        <w:ind w:firstLine="540"/>
        <w:jc w:val="both"/>
        <w:rPr>
          <w:b/>
          <w:sz w:val="22"/>
          <w:szCs w:val="22"/>
        </w:rPr>
      </w:pPr>
    </w:p>
    <w:p w:rsidR="00FD002F" w:rsidRDefault="00FD002F" w:rsidP="00EF0DD1">
      <w:pPr>
        <w:tabs>
          <w:tab w:val="left" w:pos="6195"/>
        </w:tabs>
        <w:ind w:firstLine="540"/>
        <w:jc w:val="both"/>
        <w:rPr>
          <w:b/>
          <w:sz w:val="22"/>
          <w:szCs w:val="22"/>
        </w:rPr>
      </w:pPr>
    </w:p>
    <w:p w:rsidR="00E00A6A" w:rsidRPr="00010070" w:rsidRDefault="00E00A6A" w:rsidP="00E00A6A">
      <w:pPr>
        <w:tabs>
          <w:tab w:val="left" w:pos="6195"/>
        </w:tabs>
        <w:ind w:firstLine="540"/>
        <w:jc w:val="both"/>
        <w:rPr>
          <w:b/>
          <w:color w:val="FF0000"/>
          <w:sz w:val="22"/>
          <w:szCs w:val="22"/>
        </w:rPr>
      </w:pPr>
      <w:r w:rsidRPr="00010070">
        <w:rPr>
          <w:b/>
          <w:sz w:val="22"/>
          <w:szCs w:val="22"/>
        </w:rPr>
        <w:t>Керівник</w:t>
      </w:r>
    </w:p>
    <w:p w:rsidR="00E00A6A" w:rsidRPr="00010070" w:rsidRDefault="00E00A6A" w:rsidP="00E00A6A">
      <w:pPr>
        <w:tabs>
          <w:tab w:val="left" w:pos="6195"/>
        </w:tabs>
        <w:ind w:firstLine="540"/>
        <w:jc w:val="both"/>
        <w:rPr>
          <w:b/>
          <w:color w:val="FF0000"/>
          <w:sz w:val="22"/>
          <w:szCs w:val="22"/>
        </w:rPr>
      </w:pPr>
    </w:p>
    <w:p w:rsidR="00E00A6A" w:rsidRPr="00C20E49" w:rsidRDefault="00E00A6A" w:rsidP="00E00A6A">
      <w:pPr>
        <w:tabs>
          <w:tab w:val="left" w:pos="6195"/>
        </w:tabs>
        <w:ind w:firstLine="540"/>
        <w:jc w:val="both"/>
        <w:rPr>
          <w:b/>
          <w:color w:val="FF0000"/>
          <w:sz w:val="22"/>
          <w:szCs w:val="22"/>
          <w:lang w:val="ru-RU"/>
        </w:rPr>
      </w:pPr>
      <w:r w:rsidRPr="00010070">
        <w:rPr>
          <w:b/>
          <w:lang w:eastAsia="ru-RU"/>
        </w:rPr>
        <w:t>_________________ О.С.</w:t>
      </w:r>
      <w:r w:rsidR="00C20E49">
        <w:rPr>
          <w:b/>
          <w:lang w:val="ru-RU" w:eastAsia="ru-RU"/>
        </w:rPr>
        <w:t xml:space="preserve"> </w:t>
      </w:r>
      <w:proofErr w:type="spellStart"/>
      <w:r w:rsidRPr="00010070">
        <w:rPr>
          <w:b/>
          <w:lang w:eastAsia="ru-RU"/>
        </w:rPr>
        <w:t>Хрипуненко</w:t>
      </w:r>
      <w:proofErr w:type="spellEnd"/>
      <w:r w:rsidRPr="00010070">
        <w:rPr>
          <w:b/>
          <w:lang w:eastAsia="ru-RU"/>
        </w:rPr>
        <w:t xml:space="preserve"> </w:t>
      </w:r>
    </w:p>
    <w:p w:rsidR="00E00A6A" w:rsidRPr="00010070" w:rsidRDefault="00E00A6A" w:rsidP="00E00A6A">
      <w:pPr>
        <w:tabs>
          <w:tab w:val="left" w:pos="6195"/>
        </w:tabs>
        <w:ind w:firstLine="540"/>
        <w:jc w:val="both"/>
        <w:rPr>
          <w:b/>
          <w:color w:val="FF0000"/>
          <w:sz w:val="22"/>
          <w:szCs w:val="22"/>
        </w:rPr>
      </w:pPr>
    </w:p>
    <w:p w:rsidR="00E00A6A" w:rsidRDefault="00E00A6A" w:rsidP="00E00A6A">
      <w:pPr>
        <w:tabs>
          <w:tab w:val="left" w:pos="6195"/>
        </w:tabs>
        <w:ind w:firstLine="540"/>
        <w:jc w:val="both"/>
        <w:rPr>
          <w:b/>
          <w:color w:val="FF0000"/>
          <w:sz w:val="22"/>
          <w:szCs w:val="22"/>
        </w:rPr>
      </w:pPr>
    </w:p>
    <w:p w:rsidR="00E00A6A" w:rsidRDefault="00E00A6A" w:rsidP="00E00A6A">
      <w:pPr>
        <w:tabs>
          <w:tab w:val="left" w:pos="6195"/>
        </w:tabs>
        <w:ind w:firstLine="540"/>
        <w:jc w:val="both"/>
        <w:rPr>
          <w:b/>
          <w:color w:val="FF0000"/>
          <w:sz w:val="22"/>
          <w:szCs w:val="22"/>
        </w:rPr>
      </w:pPr>
    </w:p>
    <w:p w:rsidR="00E00A6A" w:rsidRDefault="00E00A6A" w:rsidP="00E00A6A">
      <w:pPr>
        <w:tabs>
          <w:tab w:val="left" w:pos="6195"/>
        </w:tabs>
        <w:ind w:firstLine="540"/>
        <w:jc w:val="both"/>
        <w:rPr>
          <w:b/>
          <w:color w:val="FF0000"/>
          <w:sz w:val="22"/>
          <w:szCs w:val="22"/>
        </w:rPr>
      </w:pPr>
    </w:p>
    <w:p w:rsidR="00E00A6A" w:rsidRPr="00010070" w:rsidRDefault="00E00A6A" w:rsidP="00E00A6A">
      <w:pPr>
        <w:tabs>
          <w:tab w:val="left" w:pos="6195"/>
        </w:tabs>
        <w:ind w:firstLine="540"/>
        <w:jc w:val="both"/>
        <w:rPr>
          <w:b/>
          <w:color w:val="FF0000"/>
          <w:sz w:val="22"/>
          <w:szCs w:val="22"/>
        </w:rPr>
      </w:pPr>
    </w:p>
    <w:p w:rsidR="00E00A6A" w:rsidRPr="00010070" w:rsidRDefault="00E00A6A" w:rsidP="00E00A6A">
      <w:pPr>
        <w:tabs>
          <w:tab w:val="left" w:pos="6195"/>
        </w:tabs>
        <w:ind w:firstLine="540"/>
        <w:jc w:val="both"/>
        <w:rPr>
          <w:b/>
          <w:sz w:val="22"/>
          <w:szCs w:val="22"/>
        </w:rPr>
      </w:pPr>
      <w:r w:rsidRPr="00010070">
        <w:rPr>
          <w:b/>
          <w:sz w:val="22"/>
          <w:szCs w:val="22"/>
        </w:rPr>
        <w:t>Директор по аудиту:</w:t>
      </w:r>
      <w:r w:rsidRPr="00010070">
        <w:rPr>
          <w:b/>
          <w:sz w:val="22"/>
          <w:szCs w:val="22"/>
        </w:rPr>
        <w:tab/>
        <w:t>Аудитор:</w:t>
      </w:r>
    </w:p>
    <w:p w:rsidR="00E00A6A" w:rsidRPr="00010070" w:rsidRDefault="00E00A6A" w:rsidP="00E00A6A">
      <w:pPr>
        <w:ind w:firstLine="540"/>
        <w:jc w:val="both"/>
        <w:rPr>
          <w:b/>
          <w:sz w:val="22"/>
          <w:szCs w:val="22"/>
        </w:rPr>
      </w:pPr>
    </w:p>
    <w:p w:rsidR="00E00A6A" w:rsidRPr="00010070" w:rsidRDefault="00E00A6A" w:rsidP="00E00A6A">
      <w:pPr>
        <w:ind w:firstLine="540"/>
        <w:jc w:val="both"/>
        <w:rPr>
          <w:b/>
          <w:sz w:val="22"/>
          <w:szCs w:val="22"/>
        </w:rPr>
      </w:pPr>
    </w:p>
    <w:p w:rsidR="00E00A6A" w:rsidRPr="00010070" w:rsidRDefault="00E00A6A" w:rsidP="00E00A6A">
      <w:pPr>
        <w:suppressAutoHyphens w:val="0"/>
        <w:ind w:firstLine="567"/>
        <w:jc w:val="both"/>
        <w:rPr>
          <w:b/>
          <w:sz w:val="22"/>
          <w:szCs w:val="22"/>
          <w:lang w:val="ru-RU" w:eastAsia="ru-RU"/>
        </w:rPr>
      </w:pPr>
      <w:r w:rsidRPr="00010070">
        <w:rPr>
          <w:b/>
          <w:sz w:val="22"/>
          <w:szCs w:val="22"/>
          <w:lang w:val="ru-RU" w:eastAsia="ru-RU"/>
        </w:rPr>
        <w:t>___________________ В.К. Орлова                                 ___________ О.М. Константинова</w:t>
      </w:r>
      <w:r w:rsidRPr="00010070">
        <w:rPr>
          <w:b/>
          <w:sz w:val="22"/>
          <w:szCs w:val="22"/>
          <w:lang w:eastAsia="ru-RU"/>
        </w:rPr>
        <w:t xml:space="preserve"> </w:t>
      </w:r>
    </w:p>
    <w:p w:rsidR="00E00A6A" w:rsidRPr="00010070" w:rsidRDefault="00E00A6A" w:rsidP="00E00A6A">
      <w:pPr>
        <w:pStyle w:val="a9"/>
        <w:rPr>
          <w:b/>
          <w:sz w:val="22"/>
          <w:szCs w:val="22"/>
          <w:lang w:val="ru-RU"/>
        </w:rPr>
      </w:pPr>
    </w:p>
    <w:p w:rsidR="00FD002F" w:rsidRPr="00E00A6A" w:rsidRDefault="00FD002F" w:rsidP="00EF0DD1">
      <w:pPr>
        <w:tabs>
          <w:tab w:val="left" w:pos="6195"/>
        </w:tabs>
        <w:ind w:firstLine="540"/>
        <w:jc w:val="both"/>
        <w:rPr>
          <w:b/>
          <w:sz w:val="22"/>
          <w:szCs w:val="22"/>
          <w:lang w:val="ru-RU"/>
        </w:rPr>
      </w:pPr>
    </w:p>
    <w:sectPr w:rsidR="00FD002F" w:rsidRPr="00E00A6A" w:rsidSect="009D144F">
      <w:headerReference w:type="even" r:id="rId11"/>
      <w:headerReference w:type="default" r:id="rId12"/>
      <w:footerReference w:type="first" r:id="rId13"/>
      <w:footnotePr>
        <w:pos w:val="beneathText"/>
      </w:footnotePr>
      <w:pgSz w:w="11905" w:h="16837"/>
      <w:pgMar w:top="1003" w:right="567" w:bottom="73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F2B" w:rsidRDefault="00AD2F2B">
      <w:r>
        <w:separator/>
      </w:r>
    </w:p>
  </w:endnote>
  <w:endnote w:type="continuationSeparator" w:id="1">
    <w:p w:rsidR="00AD2F2B" w:rsidRDefault="00AD2F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49" w:rsidRDefault="00C20E49" w:rsidP="00C20E49">
    <w:pPr>
      <w:pStyle w:val="af0"/>
      <w:rPr>
        <w:lang w:val="ru-RU"/>
      </w:rPr>
    </w:pPr>
  </w:p>
  <w:p w:rsidR="00AA283D" w:rsidRDefault="00AA283D" w:rsidP="00C20E49">
    <w:pPr>
      <w:pStyle w:val="af0"/>
      <w:rPr>
        <w:lang w:val="ru-RU"/>
      </w:rPr>
    </w:pPr>
  </w:p>
  <w:p w:rsidR="00AA283D" w:rsidRPr="00AA283D" w:rsidRDefault="00AA283D" w:rsidP="00C20E49">
    <w:pPr>
      <w:pStyle w:val="af0"/>
      <w:rPr>
        <w:lang w:val="ru-RU"/>
      </w:rPr>
    </w:pPr>
  </w:p>
  <w:p w:rsidR="00C20E49" w:rsidRPr="00E66BFB" w:rsidRDefault="00C20E49" w:rsidP="00C20E49">
    <w:pPr>
      <w:pBdr>
        <w:top w:val="single" w:sz="6" w:space="1" w:color="auto"/>
      </w:pBdr>
      <w:ind w:right="-286"/>
      <w:jc w:val="right"/>
      <w:rPr>
        <w:sz w:val="20"/>
        <w:lang w:val="ru-RU"/>
      </w:rPr>
    </w:pPr>
    <w:proofErr w:type="spellStart"/>
    <w:r w:rsidRPr="00E66BFB">
      <w:rPr>
        <w:sz w:val="20"/>
        <w:lang w:val="ru-RU"/>
      </w:rPr>
      <w:t>Україна</w:t>
    </w:r>
    <w:proofErr w:type="spellEnd"/>
    <w:r w:rsidRPr="00E66BFB">
      <w:rPr>
        <w:sz w:val="20"/>
        <w:lang w:val="ru-RU"/>
      </w:rPr>
      <w:t xml:space="preserve">, </w:t>
    </w:r>
    <w:smartTag w:uri="urn:schemas-microsoft-com:office:smarttags" w:element="metricconverter">
      <w:smartTagPr>
        <w:attr w:name="ProductID" w:val="76018, м"/>
      </w:smartTagPr>
      <w:r w:rsidRPr="00E66BFB">
        <w:rPr>
          <w:sz w:val="20"/>
          <w:lang w:val="ru-RU"/>
        </w:rPr>
        <w:t xml:space="preserve">76018, </w:t>
      </w:r>
      <w:proofErr w:type="spellStart"/>
      <w:r w:rsidRPr="00E66BFB">
        <w:rPr>
          <w:sz w:val="20"/>
          <w:lang w:val="ru-RU"/>
        </w:rPr>
        <w:t>м</w:t>
      </w:r>
    </w:smartTag>
    <w:r w:rsidRPr="00E66BFB">
      <w:rPr>
        <w:sz w:val="20"/>
        <w:lang w:val="ru-RU"/>
      </w:rPr>
      <w:t>.Івано-Франківськ</w:t>
    </w:r>
    <w:proofErr w:type="spellEnd"/>
    <w:r>
      <w:rPr>
        <w:sz w:val="20"/>
        <w:lang w:val="ru-RU"/>
      </w:rPr>
      <w:t>,</w:t>
    </w:r>
    <w:r w:rsidRPr="000447BF">
      <w:rPr>
        <w:sz w:val="20"/>
        <w:lang w:val="ru-RU"/>
      </w:rPr>
      <w:t xml:space="preserve"> </w:t>
    </w:r>
    <w:proofErr w:type="spellStart"/>
    <w:r w:rsidRPr="00E66BFB">
      <w:rPr>
        <w:sz w:val="20"/>
        <w:lang w:val="ru-RU"/>
      </w:rPr>
      <w:t>вул</w:t>
    </w:r>
    <w:proofErr w:type="spellEnd"/>
    <w:r w:rsidRPr="00E66BFB">
      <w:rPr>
        <w:sz w:val="20"/>
        <w:lang w:val="ru-RU"/>
      </w:rPr>
      <w:t xml:space="preserve">. </w:t>
    </w:r>
    <w:proofErr w:type="spellStart"/>
    <w:r w:rsidRPr="00E66BFB">
      <w:rPr>
        <w:sz w:val="20"/>
        <w:lang w:val="ru-RU"/>
      </w:rPr>
      <w:t>Б.Лепкого</w:t>
    </w:r>
    <w:proofErr w:type="spellEnd"/>
    <w:r w:rsidRPr="00E66BFB">
      <w:rPr>
        <w:sz w:val="20"/>
        <w:lang w:val="ru-RU"/>
      </w:rPr>
      <w:t>, 34</w:t>
    </w:r>
  </w:p>
  <w:p w:rsidR="00C20E49" w:rsidRPr="00E66BFB" w:rsidRDefault="00C20E49" w:rsidP="00C20E49">
    <w:pPr>
      <w:pBdr>
        <w:top w:val="single" w:sz="6" w:space="1" w:color="auto"/>
      </w:pBdr>
      <w:ind w:right="-286"/>
      <w:jc w:val="right"/>
      <w:rPr>
        <w:sz w:val="20"/>
      </w:rPr>
    </w:pPr>
    <w:r>
      <w:rPr>
        <w:sz w:val="20"/>
      </w:rPr>
      <w:t>e</w:t>
    </w:r>
    <w:r w:rsidRPr="000447BF">
      <w:rPr>
        <w:sz w:val="20"/>
        <w:lang w:val="ru-RU"/>
      </w:rPr>
      <w:t>-</w:t>
    </w:r>
    <w:proofErr w:type="spellStart"/>
    <w:r w:rsidRPr="000447BF">
      <w:rPr>
        <w:sz w:val="20"/>
      </w:rPr>
      <w:t>mail</w:t>
    </w:r>
    <w:proofErr w:type="spellEnd"/>
    <w:r w:rsidRPr="000447BF">
      <w:rPr>
        <w:sz w:val="20"/>
      </w:rPr>
      <w:t xml:space="preserve">: </w:t>
    </w:r>
    <w:proofErr w:type="spellStart"/>
    <w:r w:rsidRPr="000447BF">
      <w:rPr>
        <w:sz w:val="20"/>
        <w:shd w:val="clear" w:color="auto" w:fill="FFFFFF"/>
      </w:rPr>
      <w:t>auditservice</w:t>
    </w:r>
    <w:proofErr w:type="spellEnd"/>
    <w:r w:rsidRPr="000447BF">
      <w:rPr>
        <w:sz w:val="20"/>
        <w:shd w:val="clear" w:color="auto" w:fill="FFFFFF"/>
        <w:lang w:val="ru-RU"/>
      </w:rPr>
      <w:t>.</w:t>
    </w:r>
    <w:proofErr w:type="spellStart"/>
    <w:r w:rsidRPr="000447BF">
      <w:rPr>
        <w:sz w:val="20"/>
        <w:shd w:val="clear" w:color="auto" w:fill="FFFFFF"/>
      </w:rPr>
      <w:t>inc</w:t>
    </w:r>
    <w:proofErr w:type="spellEnd"/>
    <w:r w:rsidRPr="000447BF">
      <w:rPr>
        <w:sz w:val="20"/>
        <w:shd w:val="clear" w:color="auto" w:fill="FFFFFF"/>
        <w:lang w:val="ru-RU"/>
      </w:rPr>
      <w:t>@</w:t>
    </w:r>
    <w:proofErr w:type="spellStart"/>
    <w:r w:rsidRPr="000447BF">
      <w:rPr>
        <w:sz w:val="20"/>
        <w:shd w:val="clear" w:color="auto" w:fill="FFFFFF"/>
      </w:rPr>
      <w:t>gmail</w:t>
    </w:r>
    <w:proofErr w:type="spellEnd"/>
    <w:r w:rsidRPr="000447BF">
      <w:rPr>
        <w:sz w:val="20"/>
        <w:shd w:val="clear" w:color="auto" w:fill="FFFFFF"/>
        <w:lang w:val="ru-RU"/>
      </w:rPr>
      <w:t>.</w:t>
    </w:r>
    <w:proofErr w:type="spellStart"/>
    <w:r w:rsidRPr="000447BF">
      <w:rPr>
        <w:sz w:val="20"/>
        <w:shd w:val="clear" w:color="auto" w:fill="FFFFFF"/>
      </w:rPr>
      <w:t>com</w:t>
    </w:r>
    <w:proofErr w:type="spellEnd"/>
    <w:r>
      <w:rPr>
        <w:sz w:val="20"/>
        <w:shd w:val="clear" w:color="auto" w:fill="FFFFFF"/>
      </w:rPr>
      <w:t xml:space="preserve">, </w:t>
    </w:r>
    <w:r>
      <w:rPr>
        <w:sz w:val="20"/>
      </w:rPr>
      <w:t xml:space="preserve"> </w:t>
    </w:r>
    <w:r w:rsidRPr="00E66BFB">
      <w:rPr>
        <w:sz w:val="20"/>
        <w:lang w:val="ru-RU"/>
      </w:rPr>
      <w:t>тел</w:t>
    </w:r>
    <w:r w:rsidRPr="000447BF">
      <w:rPr>
        <w:sz w:val="20"/>
        <w:lang w:val="ru-RU"/>
      </w:rPr>
      <w:t>./</w:t>
    </w:r>
    <w:r>
      <w:rPr>
        <w:sz w:val="20"/>
      </w:rPr>
      <w:t>факс</w:t>
    </w:r>
    <w:r w:rsidRPr="000447BF">
      <w:rPr>
        <w:sz w:val="20"/>
        <w:lang w:val="ru-RU"/>
      </w:rPr>
      <w:t xml:space="preserve"> (0342) 750</w:t>
    </w:r>
    <w:r>
      <w:rPr>
        <w:sz w:val="20"/>
      </w:rPr>
      <w:t>-</w:t>
    </w:r>
    <w:r w:rsidRPr="000447BF">
      <w:rPr>
        <w:sz w:val="20"/>
        <w:lang w:val="ru-RU"/>
      </w:rPr>
      <w:t>501</w:t>
    </w:r>
    <w:r w:rsidRPr="00E66BFB">
      <w:rPr>
        <w:sz w:val="20"/>
      </w:rPr>
      <w:t xml:space="preserve">, тел. </w:t>
    </w:r>
    <w:r>
      <w:rPr>
        <w:sz w:val="20"/>
      </w:rPr>
      <w:t>740-380</w:t>
    </w:r>
  </w:p>
  <w:p w:rsidR="00AA283D" w:rsidRDefault="00C20E49" w:rsidP="00AA283D">
    <w:pPr>
      <w:pStyle w:val="af0"/>
      <w:ind w:right="-286"/>
      <w:jc w:val="right"/>
      <w:rPr>
        <w:lang w:val="ru-RU"/>
      </w:rPr>
    </w:pPr>
    <w:r>
      <w:rPr>
        <w:sz w:val="20"/>
      </w:rPr>
      <w:t>п</w:t>
    </w:r>
    <w:r w:rsidRPr="00E66BFB">
      <w:rPr>
        <w:sz w:val="20"/>
      </w:rPr>
      <w:t>/р 2600</w:t>
    </w:r>
    <w:r>
      <w:rPr>
        <w:sz w:val="20"/>
      </w:rPr>
      <w:t>1328143</w:t>
    </w:r>
    <w:r w:rsidRPr="00E66BFB">
      <w:rPr>
        <w:sz w:val="20"/>
      </w:rPr>
      <w:t xml:space="preserve"> в </w:t>
    </w:r>
    <w:r>
      <w:rPr>
        <w:sz w:val="20"/>
      </w:rPr>
      <w:t>ІФФ «</w:t>
    </w:r>
    <w:proofErr w:type="spellStart"/>
    <w:r>
      <w:rPr>
        <w:sz w:val="20"/>
      </w:rPr>
      <w:t>Райффайзен</w:t>
    </w:r>
    <w:proofErr w:type="spellEnd"/>
    <w:r>
      <w:rPr>
        <w:sz w:val="20"/>
      </w:rPr>
      <w:t xml:space="preserve"> Банк Аваль» МФО 3</w:t>
    </w:r>
    <w:r w:rsidRPr="000447BF">
      <w:rPr>
        <w:sz w:val="20"/>
        <w:lang w:val="ru-RU"/>
      </w:rPr>
      <w:t>80805</w:t>
    </w:r>
    <w:r w:rsidRPr="00E66BFB">
      <w:rPr>
        <w:sz w:val="20"/>
      </w:rPr>
      <w:t xml:space="preserve"> код </w:t>
    </w:r>
    <w:r>
      <w:rPr>
        <w:sz w:val="20"/>
      </w:rPr>
      <w:t>ЄДРПОУ</w:t>
    </w:r>
    <w:r w:rsidRPr="00E66BFB">
      <w:rPr>
        <w:sz w:val="20"/>
      </w:rPr>
      <w:t xml:space="preserve"> 13659226</w:t>
    </w:r>
  </w:p>
  <w:p w:rsidR="00AA283D" w:rsidRPr="00AA283D" w:rsidRDefault="00AA283D" w:rsidP="00AA283D">
    <w:pPr>
      <w:pStyle w:val="af0"/>
      <w:ind w:right="-286"/>
      <w:jc w:val="right"/>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F2B" w:rsidRDefault="00AD2F2B">
      <w:r>
        <w:separator/>
      </w:r>
    </w:p>
  </w:footnote>
  <w:footnote w:type="continuationSeparator" w:id="1">
    <w:p w:rsidR="00AD2F2B" w:rsidRDefault="00AD2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4FF" w:rsidRDefault="004206CA" w:rsidP="0084392C">
    <w:pPr>
      <w:pStyle w:val="a9"/>
      <w:framePr w:wrap="around" w:vAnchor="text" w:hAnchor="margin" w:xAlign="right" w:y="1"/>
      <w:rPr>
        <w:rStyle w:val="a4"/>
      </w:rPr>
    </w:pPr>
    <w:r>
      <w:rPr>
        <w:rStyle w:val="a4"/>
      </w:rPr>
      <w:fldChar w:fldCharType="begin"/>
    </w:r>
    <w:r w:rsidR="001B24FF">
      <w:rPr>
        <w:rStyle w:val="a4"/>
      </w:rPr>
      <w:instrText xml:space="preserve">PAGE  </w:instrText>
    </w:r>
    <w:r>
      <w:rPr>
        <w:rStyle w:val="a4"/>
      </w:rPr>
      <w:fldChar w:fldCharType="end"/>
    </w:r>
  </w:p>
  <w:p w:rsidR="001B24FF" w:rsidRDefault="001B24FF" w:rsidP="00F85A8A">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4FF" w:rsidRDefault="004206CA" w:rsidP="0084392C">
    <w:pPr>
      <w:pStyle w:val="a9"/>
      <w:framePr w:wrap="around" w:vAnchor="text" w:hAnchor="margin" w:xAlign="right" w:y="1"/>
      <w:rPr>
        <w:rStyle w:val="a4"/>
      </w:rPr>
    </w:pPr>
    <w:r>
      <w:rPr>
        <w:rStyle w:val="a4"/>
      </w:rPr>
      <w:fldChar w:fldCharType="begin"/>
    </w:r>
    <w:r w:rsidR="001B24FF">
      <w:rPr>
        <w:rStyle w:val="a4"/>
      </w:rPr>
      <w:instrText xml:space="preserve">PAGE  </w:instrText>
    </w:r>
    <w:r>
      <w:rPr>
        <w:rStyle w:val="a4"/>
      </w:rPr>
      <w:fldChar w:fldCharType="separate"/>
    </w:r>
    <w:r w:rsidR="00AA283D">
      <w:rPr>
        <w:rStyle w:val="a4"/>
        <w:noProof/>
      </w:rPr>
      <w:t>2</w:t>
    </w:r>
    <w:r>
      <w:rPr>
        <w:rStyle w:val="a4"/>
      </w:rPr>
      <w:fldChar w:fldCharType="end"/>
    </w:r>
  </w:p>
  <w:p w:rsidR="001B24FF" w:rsidRDefault="004206CA">
    <w:pPr>
      <w:pStyle w:val="a9"/>
      <w:ind w:right="360"/>
    </w:pPr>
    <w:r w:rsidRPr="004206CA">
      <w:pict>
        <v:shapetype id="_x0000_t202" coordsize="21600,21600" o:spt="202" path="m,l,21600r21600,l21600,xe">
          <v:stroke joinstyle="miter"/>
          <v:path gradientshapeok="t" o:connecttype="rect"/>
        </v:shapetype>
        <v:shape id="_x0000_s2049" type="#_x0000_t202" style="position:absolute;margin-left:224.3pt;margin-top:.05pt;width:21.95pt;height:13.65pt;z-index:251657728;mso-wrap-distance-left:0;mso-wrap-distance-right:0;mso-position-horizontal:right;mso-position-horizontal-relative:margin" stroked="f">
          <v:fill color2="black"/>
          <v:textbox inset="0,0,0,0">
            <w:txbxContent>
              <w:p w:rsidR="001B24FF" w:rsidRDefault="004206CA">
                <w:pPr>
                  <w:pStyle w:val="a9"/>
                </w:pPr>
                <w:r>
                  <w:rPr>
                    <w:rStyle w:val="a4"/>
                  </w:rPr>
                  <w:fldChar w:fldCharType="begin"/>
                </w:r>
                <w:r w:rsidR="001B24FF">
                  <w:rPr>
                    <w:rStyle w:val="a4"/>
                  </w:rPr>
                  <w:instrText xml:space="preserve"> PAGE \*ARABIC </w:instrText>
                </w:r>
                <w:r>
                  <w:rPr>
                    <w:rStyle w:val="a4"/>
                  </w:rPr>
                  <w:fldChar w:fldCharType="separate"/>
                </w:r>
                <w:r w:rsidR="00AA283D">
                  <w:rPr>
                    <w:rStyle w:val="a4"/>
                    <w:noProof/>
                  </w:rPr>
                  <w:t>2</w:t>
                </w:r>
                <w:r>
                  <w:rPr>
                    <w:rStyle w:val="a4"/>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94607C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D141F8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2"/>
    <w:lvl w:ilvl="0">
      <w:start w:val="1"/>
      <w:numFmt w:val="decimal"/>
      <w:lvlText w:val="%1."/>
      <w:lvlJc w:val="left"/>
      <w:pPr>
        <w:tabs>
          <w:tab w:val="num" w:pos="927"/>
        </w:tabs>
        <w:ind w:left="927" w:hanging="360"/>
      </w:pPr>
    </w:lvl>
  </w:abstractNum>
  <w:abstractNum w:abstractNumId="3">
    <w:nsid w:val="00000002"/>
    <w:multiLevelType w:val="singleLevel"/>
    <w:tmpl w:val="00000002"/>
    <w:name w:val="WW8Num4"/>
    <w:lvl w:ilvl="0">
      <w:start w:val="6"/>
      <w:numFmt w:val="bullet"/>
      <w:lvlText w:val="-"/>
      <w:lvlJc w:val="left"/>
      <w:pPr>
        <w:tabs>
          <w:tab w:val="num" w:pos="927"/>
        </w:tabs>
        <w:ind w:left="927" w:hanging="360"/>
      </w:pPr>
      <w:rPr>
        <w:rFonts w:ascii="Times New Roman" w:hAnsi="Times New Roman"/>
      </w:rPr>
    </w:lvl>
  </w:abstractNum>
  <w:abstractNum w:abstractNumId="4">
    <w:nsid w:val="00000003"/>
    <w:multiLevelType w:val="singleLevel"/>
    <w:tmpl w:val="00000003"/>
    <w:name w:val="WW8Num5"/>
    <w:lvl w:ilvl="0">
      <w:start w:val="2"/>
      <w:numFmt w:val="bullet"/>
      <w:lvlText w:val="–"/>
      <w:lvlJc w:val="left"/>
      <w:pPr>
        <w:tabs>
          <w:tab w:val="num" w:pos="1069"/>
        </w:tabs>
        <w:ind w:left="1069" w:hanging="360"/>
      </w:pPr>
      <w:rPr>
        <w:rFonts w:ascii="StarSymbol" w:hAnsi="StarSymbol"/>
      </w:rPr>
    </w:lvl>
  </w:abstractNum>
  <w:abstractNum w:abstractNumId="5">
    <w:nsid w:val="00000004"/>
    <w:multiLevelType w:val="multilevel"/>
    <w:tmpl w:val="00000004"/>
    <w:name w:val="WW8Num7"/>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6">
    <w:nsid w:val="00000005"/>
    <w:multiLevelType w:val="multilevel"/>
    <w:tmpl w:val="00000005"/>
    <w:name w:val="WW8Num1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7">
    <w:nsid w:val="00000006"/>
    <w:multiLevelType w:val="multilevel"/>
    <w:tmpl w:val="00000006"/>
    <w:lvl w:ilvl="0">
      <w:start w:val="1"/>
      <w:numFmt w:val="none"/>
      <w:pStyle w:val="1"/>
      <w:lvlText w:val=""/>
      <w:lvlJc w:val="left"/>
      <w:pPr>
        <w:tabs>
          <w:tab w:val="num" w:pos="0"/>
        </w:tabs>
        <w:ind w:left="0" w:firstLine="0"/>
      </w:pPr>
    </w:lvl>
    <w:lvl w:ilvl="1">
      <w:start w:val="1"/>
      <w:numFmt w:val="none"/>
      <w:pStyle w:val="20"/>
      <w:lvlText w:val=""/>
      <w:lvlJc w:val="left"/>
      <w:pPr>
        <w:tabs>
          <w:tab w:val="num" w:pos="0"/>
        </w:tabs>
        <w:ind w:left="0" w:firstLine="0"/>
      </w:pPr>
    </w:lvl>
    <w:lvl w:ilvl="2">
      <w:start w:val="1"/>
      <w:numFmt w:val="none"/>
      <w:pStyle w:val="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pStyle w:val="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nsid w:val="00000008"/>
    <w:multiLevelType w:val="singleLevel"/>
    <w:tmpl w:val="00000008"/>
    <w:name w:val="WW8Num22"/>
    <w:lvl w:ilvl="0">
      <w:start w:val="27"/>
      <w:numFmt w:val="bullet"/>
      <w:lvlText w:val="-"/>
      <w:lvlJc w:val="left"/>
      <w:pPr>
        <w:tabs>
          <w:tab w:val="num" w:pos="720"/>
        </w:tabs>
        <w:ind w:left="720" w:hanging="360"/>
      </w:pPr>
      <w:rPr>
        <w:rFonts w:ascii="Arial" w:hAnsi="Arial" w:cs="Arial"/>
      </w:rPr>
    </w:lvl>
  </w:abstractNum>
  <w:abstractNum w:abstractNumId="9">
    <w:nsid w:val="015D01F3"/>
    <w:multiLevelType w:val="multilevel"/>
    <w:tmpl w:val="00000004"/>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0">
    <w:nsid w:val="033235DD"/>
    <w:multiLevelType w:val="multilevel"/>
    <w:tmpl w:val="5782AA52"/>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1">
    <w:nsid w:val="1202069C"/>
    <w:multiLevelType w:val="hybridMultilevel"/>
    <w:tmpl w:val="91107860"/>
    <w:lvl w:ilvl="0" w:tplc="2C788658">
      <w:start w:val="2"/>
      <w:numFmt w:val="bullet"/>
      <w:lvlText w:val="-"/>
      <w:lvlJc w:val="left"/>
      <w:pPr>
        <w:tabs>
          <w:tab w:val="num" w:pos="3273"/>
        </w:tabs>
        <w:ind w:left="3273" w:hanging="360"/>
      </w:pPr>
      <w:rPr>
        <w:rFonts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2">
    <w:nsid w:val="161841CC"/>
    <w:multiLevelType w:val="multilevel"/>
    <w:tmpl w:val="00000004"/>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3">
    <w:nsid w:val="1A9C04D3"/>
    <w:multiLevelType w:val="hybridMultilevel"/>
    <w:tmpl w:val="A560E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714ABE"/>
    <w:multiLevelType w:val="hybridMultilevel"/>
    <w:tmpl w:val="D51AF3A0"/>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4947A4B"/>
    <w:multiLevelType w:val="singleLevel"/>
    <w:tmpl w:val="AAA060D6"/>
    <w:lvl w:ilvl="0">
      <w:start w:val="1"/>
      <w:numFmt w:val="decimal"/>
      <w:lvlText w:val="%1."/>
      <w:lvlJc w:val="left"/>
      <w:pPr>
        <w:tabs>
          <w:tab w:val="num" w:pos="927"/>
        </w:tabs>
        <w:ind w:left="927" w:hanging="360"/>
      </w:pPr>
    </w:lvl>
  </w:abstractNum>
  <w:abstractNum w:abstractNumId="16">
    <w:nsid w:val="28921B49"/>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BA2161E"/>
    <w:multiLevelType w:val="singleLevel"/>
    <w:tmpl w:val="13F4FE56"/>
    <w:lvl w:ilvl="0">
      <w:start w:val="6"/>
      <w:numFmt w:val="bullet"/>
      <w:lvlText w:val="-"/>
      <w:lvlJc w:val="left"/>
      <w:pPr>
        <w:tabs>
          <w:tab w:val="num" w:pos="927"/>
        </w:tabs>
        <w:ind w:left="927" w:hanging="360"/>
      </w:pPr>
      <w:rPr>
        <w:rFonts w:ascii="Times New Roman" w:hAnsi="Times New Roman" w:hint="default"/>
      </w:rPr>
    </w:lvl>
  </w:abstractNum>
  <w:abstractNum w:abstractNumId="18">
    <w:nsid w:val="2C4346C0"/>
    <w:multiLevelType w:val="hybridMultilevel"/>
    <w:tmpl w:val="8A0A2118"/>
    <w:lvl w:ilvl="0" w:tplc="AAA060D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2DEF76A1"/>
    <w:multiLevelType w:val="multilevel"/>
    <w:tmpl w:val="9990C386"/>
    <w:lvl w:ilvl="0">
      <w:start w:val="1"/>
      <w:numFmt w:val="bullet"/>
      <w:lvlText w:val="o"/>
      <w:lvlJc w:val="left"/>
      <w:pPr>
        <w:tabs>
          <w:tab w:val="num" w:pos="1797"/>
        </w:tabs>
        <w:ind w:left="1797" w:hanging="360"/>
      </w:pPr>
      <w:rPr>
        <w:rFonts w:ascii="Courier New" w:hAnsi="Courier New" w:cs="Courier New" w:hint="default"/>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37945AD6"/>
    <w:multiLevelType w:val="hybridMultilevel"/>
    <w:tmpl w:val="3DB80A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980CC9"/>
    <w:multiLevelType w:val="hybridMultilevel"/>
    <w:tmpl w:val="3D7E70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77C1F0B"/>
    <w:multiLevelType w:val="hybridMultilevel"/>
    <w:tmpl w:val="4ADC4020"/>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C22460A"/>
    <w:multiLevelType w:val="hybridMultilevel"/>
    <w:tmpl w:val="9A46F3AA"/>
    <w:lvl w:ilvl="0" w:tplc="AB568068">
      <w:start w:val="6"/>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4A7100"/>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68635C30"/>
    <w:multiLevelType w:val="hybridMultilevel"/>
    <w:tmpl w:val="F162FE28"/>
    <w:lvl w:ilvl="0" w:tplc="6E58AE7A">
      <w:start w:val="1"/>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26">
    <w:nsid w:val="6C4C6B31"/>
    <w:multiLevelType w:val="hybridMultilevel"/>
    <w:tmpl w:val="225A59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D30224A"/>
    <w:multiLevelType w:val="hybridMultilevel"/>
    <w:tmpl w:val="D9E4C0B4"/>
    <w:lvl w:ilvl="0" w:tplc="49524D74">
      <w:start w:val="27"/>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323D4F"/>
    <w:multiLevelType w:val="hybridMultilevel"/>
    <w:tmpl w:val="1416E4B4"/>
    <w:lvl w:ilvl="0" w:tplc="4ED804E4">
      <w:start w:val="1"/>
      <w:numFmt w:val="bullet"/>
      <w:lvlText w:val=""/>
      <w:lvlJc w:val="left"/>
      <w:pPr>
        <w:tabs>
          <w:tab w:val="num" w:pos="1260"/>
        </w:tabs>
        <w:ind w:left="1260" w:hanging="360"/>
      </w:pPr>
      <w:rPr>
        <w:rFonts w:ascii="Wingdings" w:hAnsi="Wingdings" w:hint="default"/>
        <w:color w:val="00000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F4F01C8"/>
    <w:multiLevelType w:val="hybridMultilevel"/>
    <w:tmpl w:val="F804401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nsid w:val="7D364879"/>
    <w:multiLevelType w:val="singleLevel"/>
    <w:tmpl w:val="0E5C64E6"/>
    <w:lvl w:ilvl="0">
      <w:start w:val="1"/>
      <w:numFmt w:val="decimal"/>
      <w:lvlText w:val="%1."/>
      <w:lvlJc w:val="left"/>
      <w:pPr>
        <w:tabs>
          <w:tab w:val="num" w:pos="540"/>
        </w:tabs>
        <w:ind w:left="540" w:hanging="36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5"/>
    <w:lvlOverride w:ilvl="0">
      <w:startOverride w:val="1"/>
    </w:lvlOverride>
  </w:num>
  <w:num w:numId="8">
    <w:abstractNumId w:val="23"/>
  </w:num>
  <w:num w:numId="9">
    <w:abstractNumId w:val="14"/>
  </w:num>
  <w:num w:numId="10">
    <w:abstractNumId w:val="27"/>
  </w:num>
  <w:num w:numId="11">
    <w:abstractNumId w:val="17"/>
  </w:num>
  <w:num w:numId="12">
    <w:abstractNumId w:val="13"/>
  </w:num>
  <w:num w:numId="13">
    <w:abstractNumId w:val="1"/>
  </w:num>
  <w:num w:numId="14">
    <w:abstractNumId w:val="24"/>
  </w:num>
  <w:num w:numId="15">
    <w:abstractNumId w:val="30"/>
  </w:num>
  <w:num w:numId="16">
    <w:abstractNumId w:val="20"/>
  </w:num>
  <w:num w:numId="17">
    <w:abstractNumId w:val="18"/>
  </w:num>
  <w:num w:numId="18">
    <w:abstractNumId w:val="17"/>
  </w:num>
  <w:num w:numId="19">
    <w:abstractNumId w:val="0"/>
  </w:num>
  <w:num w:numId="20">
    <w:abstractNumId w:val="9"/>
  </w:num>
  <w:num w:numId="21">
    <w:abstractNumId w:val="12"/>
  </w:num>
  <w:num w:numId="22">
    <w:abstractNumId w:val="10"/>
  </w:num>
  <w:num w:numId="23">
    <w:abstractNumId w:val="16"/>
  </w:num>
  <w:num w:numId="24">
    <w:abstractNumId w:val="28"/>
  </w:num>
  <w:num w:numId="25">
    <w:abstractNumId w:val="19"/>
  </w:num>
  <w:num w:numId="26">
    <w:abstractNumId w:val="29"/>
  </w:num>
  <w:num w:numId="27">
    <w:abstractNumId w:val="21"/>
  </w:num>
  <w:num w:numId="28">
    <w:abstractNumId w:val="11"/>
  </w:num>
  <w:num w:numId="29">
    <w:abstractNumId w:val="26"/>
  </w:num>
  <w:num w:numId="30">
    <w:abstractNumId w:val="22"/>
  </w:num>
  <w:num w:numId="31">
    <w:abstractNumId w:val="8"/>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127CA"/>
    <w:rsid w:val="00010828"/>
    <w:rsid w:val="00011F3E"/>
    <w:rsid w:val="00027D9F"/>
    <w:rsid w:val="00030501"/>
    <w:rsid w:val="00043159"/>
    <w:rsid w:val="0004482A"/>
    <w:rsid w:val="00051FD0"/>
    <w:rsid w:val="00053E4C"/>
    <w:rsid w:val="000562BC"/>
    <w:rsid w:val="00060386"/>
    <w:rsid w:val="00070181"/>
    <w:rsid w:val="00077D52"/>
    <w:rsid w:val="00083D37"/>
    <w:rsid w:val="000B4BD2"/>
    <w:rsid w:val="000B72B4"/>
    <w:rsid w:val="000D25A1"/>
    <w:rsid w:val="000E09A8"/>
    <w:rsid w:val="000E1313"/>
    <w:rsid w:val="000E5354"/>
    <w:rsid w:val="00103CDC"/>
    <w:rsid w:val="001155B4"/>
    <w:rsid w:val="00126683"/>
    <w:rsid w:val="001316D2"/>
    <w:rsid w:val="00134DE2"/>
    <w:rsid w:val="00142EC0"/>
    <w:rsid w:val="00147D68"/>
    <w:rsid w:val="00175044"/>
    <w:rsid w:val="0019282C"/>
    <w:rsid w:val="00196941"/>
    <w:rsid w:val="001978E3"/>
    <w:rsid w:val="001A70A2"/>
    <w:rsid w:val="001B24FF"/>
    <w:rsid w:val="001B2791"/>
    <w:rsid w:val="001B5CCF"/>
    <w:rsid w:val="001D2CCB"/>
    <w:rsid w:val="001D5825"/>
    <w:rsid w:val="001D7312"/>
    <w:rsid w:val="001E5F0E"/>
    <w:rsid w:val="001F14F8"/>
    <w:rsid w:val="00231144"/>
    <w:rsid w:val="002312D3"/>
    <w:rsid w:val="00234907"/>
    <w:rsid w:val="00234F32"/>
    <w:rsid w:val="00237593"/>
    <w:rsid w:val="002745C2"/>
    <w:rsid w:val="002843F4"/>
    <w:rsid w:val="002903B0"/>
    <w:rsid w:val="0029125E"/>
    <w:rsid w:val="002955C2"/>
    <w:rsid w:val="00296070"/>
    <w:rsid w:val="002A2A00"/>
    <w:rsid w:val="002A5FB5"/>
    <w:rsid w:val="002C121F"/>
    <w:rsid w:val="002C5B31"/>
    <w:rsid w:val="002D2D2C"/>
    <w:rsid w:val="002E2827"/>
    <w:rsid w:val="002E2C7B"/>
    <w:rsid w:val="002F380E"/>
    <w:rsid w:val="00314120"/>
    <w:rsid w:val="003147D5"/>
    <w:rsid w:val="00315CE0"/>
    <w:rsid w:val="00316496"/>
    <w:rsid w:val="003363E2"/>
    <w:rsid w:val="00344A5F"/>
    <w:rsid w:val="00345B93"/>
    <w:rsid w:val="003720AB"/>
    <w:rsid w:val="00373BEB"/>
    <w:rsid w:val="00393042"/>
    <w:rsid w:val="003A4733"/>
    <w:rsid w:val="003C01DE"/>
    <w:rsid w:val="003C1971"/>
    <w:rsid w:val="003C36D9"/>
    <w:rsid w:val="003C61F0"/>
    <w:rsid w:val="003C7579"/>
    <w:rsid w:val="003D00C9"/>
    <w:rsid w:val="003D34F1"/>
    <w:rsid w:val="003D63F0"/>
    <w:rsid w:val="003E3478"/>
    <w:rsid w:val="003E4A3E"/>
    <w:rsid w:val="003F5DFD"/>
    <w:rsid w:val="00404150"/>
    <w:rsid w:val="00416588"/>
    <w:rsid w:val="004206CA"/>
    <w:rsid w:val="004261AF"/>
    <w:rsid w:val="004347E8"/>
    <w:rsid w:val="00435ADF"/>
    <w:rsid w:val="00436A63"/>
    <w:rsid w:val="00436F47"/>
    <w:rsid w:val="00437078"/>
    <w:rsid w:val="00440542"/>
    <w:rsid w:val="00447762"/>
    <w:rsid w:val="0045032F"/>
    <w:rsid w:val="004652E8"/>
    <w:rsid w:val="0046658D"/>
    <w:rsid w:val="0047409C"/>
    <w:rsid w:val="00483059"/>
    <w:rsid w:val="0049008C"/>
    <w:rsid w:val="004B7B66"/>
    <w:rsid w:val="004C3D38"/>
    <w:rsid w:val="004D08A5"/>
    <w:rsid w:val="004E1DD9"/>
    <w:rsid w:val="004E4BD6"/>
    <w:rsid w:val="004F05AE"/>
    <w:rsid w:val="004F3AB5"/>
    <w:rsid w:val="004F56CF"/>
    <w:rsid w:val="004F7602"/>
    <w:rsid w:val="00500FBC"/>
    <w:rsid w:val="00534943"/>
    <w:rsid w:val="00544E78"/>
    <w:rsid w:val="00545BBB"/>
    <w:rsid w:val="00575EE0"/>
    <w:rsid w:val="005770BF"/>
    <w:rsid w:val="005A5E0E"/>
    <w:rsid w:val="005C1CDE"/>
    <w:rsid w:val="005C4655"/>
    <w:rsid w:val="005C7DE3"/>
    <w:rsid w:val="006152D0"/>
    <w:rsid w:val="0061613C"/>
    <w:rsid w:val="006176FF"/>
    <w:rsid w:val="00623A8A"/>
    <w:rsid w:val="0063479D"/>
    <w:rsid w:val="00635799"/>
    <w:rsid w:val="006423D1"/>
    <w:rsid w:val="00654722"/>
    <w:rsid w:val="00674703"/>
    <w:rsid w:val="00697787"/>
    <w:rsid w:val="006A62BD"/>
    <w:rsid w:val="006B064C"/>
    <w:rsid w:val="006B6ADB"/>
    <w:rsid w:val="006B7134"/>
    <w:rsid w:val="006E100A"/>
    <w:rsid w:val="00706A0F"/>
    <w:rsid w:val="007127CA"/>
    <w:rsid w:val="00731C46"/>
    <w:rsid w:val="00731E72"/>
    <w:rsid w:val="007370AA"/>
    <w:rsid w:val="00737619"/>
    <w:rsid w:val="00746919"/>
    <w:rsid w:val="0075056F"/>
    <w:rsid w:val="007539D5"/>
    <w:rsid w:val="00761CCB"/>
    <w:rsid w:val="007623E6"/>
    <w:rsid w:val="00767B61"/>
    <w:rsid w:val="0077160E"/>
    <w:rsid w:val="00785683"/>
    <w:rsid w:val="00791D4E"/>
    <w:rsid w:val="007A51A6"/>
    <w:rsid w:val="007A56D7"/>
    <w:rsid w:val="007A64F8"/>
    <w:rsid w:val="007D4789"/>
    <w:rsid w:val="007D593B"/>
    <w:rsid w:val="007D6578"/>
    <w:rsid w:val="007D6852"/>
    <w:rsid w:val="007F448D"/>
    <w:rsid w:val="008022FA"/>
    <w:rsid w:val="008164D7"/>
    <w:rsid w:val="00827107"/>
    <w:rsid w:val="00832809"/>
    <w:rsid w:val="0084392C"/>
    <w:rsid w:val="008445A8"/>
    <w:rsid w:val="00845EC3"/>
    <w:rsid w:val="00861D60"/>
    <w:rsid w:val="00872C36"/>
    <w:rsid w:val="008966B7"/>
    <w:rsid w:val="008A6F15"/>
    <w:rsid w:val="008B0A1A"/>
    <w:rsid w:val="008B7741"/>
    <w:rsid w:val="008C3FF3"/>
    <w:rsid w:val="008C65E0"/>
    <w:rsid w:val="008F27B1"/>
    <w:rsid w:val="008F60E3"/>
    <w:rsid w:val="008F7079"/>
    <w:rsid w:val="0091226A"/>
    <w:rsid w:val="009170A5"/>
    <w:rsid w:val="009178FF"/>
    <w:rsid w:val="00921FF6"/>
    <w:rsid w:val="00922AF4"/>
    <w:rsid w:val="009277BB"/>
    <w:rsid w:val="00932125"/>
    <w:rsid w:val="00936032"/>
    <w:rsid w:val="009454EB"/>
    <w:rsid w:val="00947A7B"/>
    <w:rsid w:val="00973FAE"/>
    <w:rsid w:val="0097488F"/>
    <w:rsid w:val="00997271"/>
    <w:rsid w:val="009A10AA"/>
    <w:rsid w:val="009A2D54"/>
    <w:rsid w:val="009D057A"/>
    <w:rsid w:val="009D144F"/>
    <w:rsid w:val="009D29CD"/>
    <w:rsid w:val="009D4A7C"/>
    <w:rsid w:val="00A00D95"/>
    <w:rsid w:val="00A205BE"/>
    <w:rsid w:val="00A31EC8"/>
    <w:rsid w:val="00A33278"/>
    <w:rsid w:val="00A52329"/>
    <w:rsid w:val="00A54FBD"/>
    <w:rsid w:val="00A722B8"/>
    <w:rsid w:val="00A73458"/>
    <w:rsid w:val="00A75A50"/>
    <w:rsid w:val="00A851A3"/>
    <w:rsid w:val="00A9261B"/>
    <w:rsid w:val="00A970AA"/>
    <w:rsid w:val="00AA0634"/>
    <w:rsid w:val="00AA283D"/>
    <w:rsid w:val="00AA779D"/>
    <w:rsid w:val="00AB1E34"/>
    <w:rsid w:val="00AD2F2B"/>
    <w:rsid w:val="00AD6F07"/>
    <w:rsid w:val="00AE3D1D"/>
    <w:rsid w:val="00AF0F1F"/>
    <w:rsid w:val="00AF4EBE"/>
    <w:rsid w:val="00AF5261"/>
    <w:rsid w:val="00B154DB"/>
    <w:rsid w:val="00B170A5"/>
    <w:rsid w:val="00B438E2"/>
    <w:rsid w:val="00B50299"/>
    <w:rsid w:val="00B6072B"/>
    <w:rsid w:val="00B67284"/>
    <w:rsid w:val="00B67B16"/>
    <w:rsid w:val="00B67C6A"/>
    <w:rsid w:val="00B71756"/>
    <w:rsid w:val="00B84356"/>
    <w:rsid w:val="00BA4487"/>
    <w:rsid w:val="00BA5731"/>
    <w:rsid w:val="00BB1E97"/>
    <w:rsid w:val="00BC53FE"/>
    <w:rsid w:val="00BD6DDC"/>
    <w:rsid w:val="00BE1047"/>
    <w:rsid w:val="00BE28A2"/>
    <w:rsid w:val="00BE5D58"/>
    <w:rsid w:val="00C02691"/>
    <w:rsid w:val="00C1009A"/>
    <w:rsid w:val="00C1266D"/>
    <w:rsid w:val="00C170D4"/>
    <w:rsid w:val="00C20E49"/>
    <w:rsid w:val="00C22154"/>
    <w:rsid w:val="00C22436"/>
    <w:rsid w:val="00C3668F"/>
    <w:rsid w:val="00C4248B"/>
    <w:rsid w:val="00C43515"/>
    <w:rsid w:val="00C4356E"/>
    <w:rsid w:val="00C554B8"/>
    <w:rsid w:val="00C5661E"/>
    <w:rsid w:val="00C659CB"/>
    <w:rsid w:val="00C66E18"/>
    <w:rsid w:val="00C738AC"/>
    <w:rsid w:val="00C94ECE"/>
    <w:rsid w:val="00CA1134"/>
    <w:rsid w:val="00CA3C31"/>
    <w:rsid w:val="00CA53A9"/>
    <w:rsid w:val="00CC19E7"/>
    <w:rsid w:val="00CC4973"/>
    <w:rsid w:val="00CD0982"/>
    <w:rsid w:val="00CD2DEC"/>
    <w:rsid w:val="00CE7924"/>
    <w:rsid w:val="00CF6F47"/>
    <w:rsid w:val="00D05F5B"/>
    <w:rsid w:val="00D15E91"/>
    <w:rsid w:val="00D33400"/>
    <w:rsid w:val="00D40EFC"/>
    <w:rsid w:val="00D4599C"/>
    <w:rsid w:val="00D467A1"/>
    <w:rsid w:val="00D4686B"/>
    <w:rsid w:val="00D566A2"/>
    <w:rsid w:val="00D70C7D"/>
    <w:rsid w:val="00D936A3"/>
    <w:rsid w:val="00D95221"/>
    <w:rsid w:val="00DA2E3B"/>
    <w:rsid w:val="00DA650F"/>
    <w:rsid w:val="00DB63DB"/>
    <w:rsid w:val="00DB6E0E"/>
    <w:rsid w:val="00DC2087"/>
    <w:rsid w:val="00DC3539"/>
    <w:rsid w:val="00DC6174"/>
    <w:rsid w:val="00DC697D"/>
    <w:rsid w:val="00DD0DD1"/>
    <w:rsid w:val="00DD5AB4"/>
    <w:rsid w:val="00DE373E"/>
    <w:rsid w:val="00DE398A"/>
    <w:rsid w:val="00DF396D"/>
    <w:rsid w:val="00E0017B"/>
    <w:rsid w:val="00E00A6A"/>
    <w:rsid w:val="00E04FBF"/>
    <w:rsid w:val="00E1752B"/>
    <w:rsid w:val="00E2128C"/>
    <w:rsid w:val="00E30570"/>
    <w:rsid w:val="00E314B2"/>
    <w:rsid w:val="00E343C9"/>
    <w:rsid w:val="00E40C1D"/>
    <w:rsid w:val="00E608C3"/>
    <w:rsid w:val="00E64165"/>
    <w:rsid w:val="00E7401B"/>
    <w:rsid w:val="00E77174"/>
    <w:rsid w:val="00E777F1"/>
    <w:rsid w:val="00E8314B"/>
    <w:rsid w:val="00E8578B"/>
    <w:rsid w:val="00E87978"/>
    <w:rsid w:val="00E90179"/>
    <w:rsid w:val="00EA0DAD"/>
    <w:rsid w:val="00EA5F0E"/>
    <w:rsid w:val="00EC4FDD"/>
    <w:rsid w:val="00ED4352"/>
    <w:rsid w:val="00ED78DC"/>
    <w:rsid w:val="00EE2F32"/>
    <w:rsid w:val="00EE2F80"/>
    <w:rsid w:val="00EF0DD1"/>
    <w:rsid w:val="00F22245"/>
    <w:rsid w:val="00F22ED6"/>
    <w:rsid w:val="00F366DE"/>
    <w:rsid w:val="00F41207"/>
    <w:rsid w:val="00F62EE3"/>
    <w:rsid w:val="00F65B3C"/>
    <w:rsid w:val="00F70570"/>
    <w:rsid w:val="00F72527"/>
    <w:rsid w:val="00F85A8A"/>
    <w:rsid w:val="00F91A2B"/>
    <w:rsid w:val="00F91E3F"/>
    <w:rsid w:val="00FA0E81"/>
    <w:rsid w:val="00FA3E5A"/>
    <w:rsid w:val="00FA47C5"/>
    <w:rsid w:val="00FA6455"/>
    <w:rsid w:val="00FA7EB3"/>
    <w:rsid w:val="00FB680F"/>
    <w:rsid w:val="00FC30C8"/>
    <w:rsid w:val="00FC68A5"/>
    <w:rsid w:val="00FC799F"/>
    <w:rsid w:val="00FD002F"/>
    <w:rsid w:val="00FD1DA0"/>
    <w:rsid w:val="00FD6DD0"/>
    <w:rsid w:val="00FF5C07"/>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D144F"/>
    <w:pPr>
      <w:suppressAutoHyphens/>
    </w:pPr>
    <w:rPr>
      <w:sz w:val="24"/>
      <w:lang w:val="uk-UA" w:eastAsia="ar-SA"/>
    </w:rPr>
  </w:style>
  <w:style w:type="paragraph" w:styleId="1">
    <w:name w:val="heading 1"/>
    <w:basedOn w:val="a0"/>
    <w:next w:val="a0"/>
    <w:qFormat/>
    <w:rsid w:val="009D144F"/>
    <w:pPr>
      <w:keepNext/>
      <w:numPr>
        <w:numId w:val="6"/>
      </w:numPr>
      <w:jc w:val="center"/>
      <w:outlineLvl w:val="0"/>
    </w:pPr>
    <w:rPr>
      <w:rFonts w:ascii="Bookman Old Style" w:hAnsi="Bookman Old Style"/>
      <w:b/>
      <w:lang w:val="en-US"/>
    </w:rPr>
  </w:style>
  <w:style w:type="paragraph" w:styleId="20">
    <w:name w:val="heading 2"/>
    <w:basedOn w:val="a0"/>
    <w:next w:val="a0"/>
    <w:qFormat/>
    <w:rsid w:val="009D144F"/>
    <w:pPr>
      <w:keepNext/>
      <w:numPr>
        <w:ilvl w:val="1"/>
        <w:numId w:val="6"/>
      </w:numPr>
      <w:jc w:val="center"/>
      <w:outlineLvl w:val="1"/>
    </w:pPr>
    <w:rPr>
      <w:rFonts w:ascii="Arial" w:hAnsi="Arial"/>
      <w:b/>
      <w:sz w:val="18"/>
    </w:rPr>
  </w:style>
  <w:style w:type="paragraph" w:styleId="3">
    <w:name w:val="heading 3"/>
    <w:basedOn w:val="a0"/>
    <w:next w:val="a0"/>
    <w:qFormat/>
    <w:rsid w:val="009D144F"/>
    <w:pPr>
      <w:keepNext/>
      <w:numPr>
        <w:ilvl w:val="2"/>
        <w:numId w:val="6"/>
      </w:numPr>
      <w:jc w:val="center"/>
      <w:outlineLvl w:val="2"/>
    </w:pPr>
    <w:rPr>
      <w:rFonts w:ascii="Arial" w:hAnsi="Arial"/>
      <w:b/>
      <w:i/>
    </w:rPr>
  </w:style>
  <w:style w:type="paragraph" w:styleId="5">
    <w:name w:val="heading 5"/>
    <w:basedOn w:val="a0"/>
    <w:next w:val="a0"/>
    <w:qFormat/>
    <w:rsid w:val="009D144F"/>
    <w:pPr>
      <w:keepNext/>
      <w:numPr>
        <w:ilvl w:val="4"/>
        <w:numId w:val="6"/>
      </w:numPr>
      <w:jc w:val="center"/>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9D144F"/>
    <w:rPr>
      <w:rFonts w:ascii="Wingdings" w:hAnsi="Wingdings"/>
    </w:rPr>
  </w:style>
  <w:style w:type="character" w:customStyle="1" w:styleId="WW8Num4z0">
    <w:name w:val="WW8Num4z0"/>
    <w:rsid w:val="009D144F"/>
    <w:rPr>
      <w:rFonts w:ascii="Times New Roman" w:hAnsi="Times New Roman"/>
    </w:rPr>
  </w:style>
  <w:style w:type="character" w:customStyle="1" w:styleId="WW8Num6z0">
    <w:name w:val="WW8Num6z0"/>
    <w:rsid w:val="009D144F"/>
    <w:rPr>
      <w:rFonts w:ascii="Times New Roman" w:hAnsi="Times New Roman"/>
    </w:rPr>
  </w:style>
  <w:style w:type="character" w:customStyle="1" w:styleId="WW8Num8z0">
    <w:name w:val="WW8Num8z0"/>
    <w:rsid w:val="009D144F"/>
    <w:rPr>
      <w:rFonts w:ascii="Symbol" w:hAnsi="Symbol"/>
    </w:rPr>
  </w:style>
  <w:style w:type="character" w:customStyle="1" w:styleId="WW8Num9z0">
    <w:name w:val="WW8Num9z0"/>
    <w:rsid w:val="009D144F"/>
    <w:rPr>
      <w:rFonts w:ascii="Times New Roman" w:hAnsi="Times New Roman"/>
    </w:rPr>
  </w:style>
  <w:style w:type="character" w:customStyle="1" w:styleId="WW8Num10z0">
    <w:name w:val="WW8Num10z0"/>
    <w:rsid w:val="009D144F"/>
    <w:rPr>
      <w:rFonts w:ascii="Symbol" w:hAnsi="Symbol"/>
    </w:rPr>
  </w:style>
  <w:style w:type="character" w:customStyle="1" w:styleId="WW-">
    <w:name w:val="WW-Основной шрифт абзаца"/>
    <w:rsid w:val="009D144F"/>
  </w:style>
  <w:style w:type="character" w:styleId="a4">
    <w:name w:val="page number"/>
    <w:basedOn w:val="WW-"/>
    <w:rsid w:val="009D144F"/>
  </w:style>
  <w:style w:type="paragraph" w:styleId="a5">
    <w:name w:val="Body Text"/>
    <w:basedOn w:val="a0"/>
    <w:rsid w:val="009D144F"/>
    <w:pPr>
      <w:spacing w:after="120"/>
    </w:pPr>
  </w:style>
  <w:style w:type="paragraph" w:styleId="a6">
    <w:name w:val="List"/>
    <w:basedOn w:val="a5"/>
    <w:rsid w:val="009D144F"/>
    <w:rPr>
      <w:rFonts w:cs="Tahoma"/>
    </w:rPr>
  </w:style>
  <w:style w:type="paragraph" w:customStyle="1" w:styleId="10">
    <w:name w:val="Название1"/>
    <w:basedOn w:val="a0"/>
    <w:rsid w:val="009D144F"/>
    <w:pPr>
      <w:suppressLineNumbers/>
      <w:spacing w:before="120" w:after="120"/>
    </w:pPr>
    <w:rPr>
      <w:rFonts w:cs="Tahoma"/>
      <w:i/>
      <w:iCs/>
      <w:sz w:val="20"/>
    </w:rPr>
  </w:style>
  <w:style w:type="paragraph" w:customStyle="1" w:styleId="11">
    <w:name w:val="Указатель1"/>
    <w:basedOn w:val="a0"/>
    <w:rsid w:val="009D144F"/>
    <w:pPr>
      <w:suppressLineNumbers/>
    </w:pPr>
    <w:rPr>
      <w:rFonts w:cs="Tahoma"/>
    </w:rPr>
  </w:style>
  <w:style w:type="paragraph" w:customStyle="1" w:styleId="a7">
    <w:name w:val="Заголовок"/>
    <w:basedOn w:val="a0"/>
    <w:next w:val="a5"/>
    <w:rsid w:val="009D144F"/>
    <w:pPr>
      <w:keepNext/>
      <w:spacing w:before="240" w:after="120"/>
    </w:pPr>
    <w:rPr>
      <w:rFonts w:ascii="Arial" w:eastAsia="Lucida Sans Unicode" w:hAnsi="Arial" w:cs="Tahoma"/>
      <w:sz w:val="28"/>
      <w:szCs w:val="28"/>
    </w:rPr>
  </w:style>
  <w:style w:type="paragraph" w:styleId="a8">
    <w:name w:val="Body Text Indent"/>
    <w:basedOn w:val="a0"/>
    <w:rsid w:val="009D144F"/>
    <w:pPr>
      <w:ind w:firstLine="567"/>
    </w:pPr>
  </w:style>
  <w:style w:type="paragraph" w:customStyle="1" w:styleId="WW-2">
    <w:name w:val="WW-Основной текст с отступом 2"/>
    <w:basedOn w:val="a0"/>
    <w:rsid w:val="009D144F"/>
    <w:pPr>
      <w:ind w:firstLine="567"/>
      <w:jc w:val="both"/>
    </w:pPr>
  </w:style>
  <w:style w:type="paragraph" w:customStyle="1" w:styleId="WW-3">
    <w:name w:val="WW-Основной текст с отступом 3"/>
    <w:basedOn w:val="a0"/>
    <w:rsid w:val="009D144F"/>
    <w:pPr>
      <w:ind w:firstLine="567"/>
    </w:pPr>
    <w:rPr>
      <w:sz w:val="26"/>
    </w:rPr>
  </w:style>
  <w:style w:type="paragraph" w:styleId="a9">
    <w:name w:val="header"/>
    <w:basedOn w:val="a0"/>
    <w:link w:val="aa"/>
    <w:rsid w:val="009D144F"/>
    <w:pPr>
      <w:tabs>
        <w:tab w:val="center" w:pos="4153"/>
        <w:tab w:val="right" w:pos="8306"/>
      </w:tabs>
    </w:pPr>
  </w:style>
  <w:style w:type="paragraph" w:customStyle="1" w:styleId="WW-20">
    <w:name w:val="WW-Основной текст 2"/>
    <w:basedOn w:val="a0"/>
    <w:rsid w:val="009D144F"/>
    <w:pPr>
      <w:jc w:val="center"/>
    </w:pPr>
    <w:rPr>
      <w:sz w:val="28"/>
    </w:rPr>
  </w:style>
  <w:style w:type="paragraph" w:customStyle="1" w:styleId="ab">
    <w:name w:val="Содержимое таблицы"/>
    <w:basedOn w:val="a5"/>
    <w:rsid w:val="009D144F"/>
    <w:pPr>
      <w:suppressLineNumbers/>
    </w:pPr>
  </w:style>
  <w:style w:type="paragraph" w:customStyle="1" w:styleId="ac">
    <w:name w:val="Заголовок таблицы"/>
    <w:basedOn w:val="ab"/>
    <w:rsid w:val="009D144F"/>
    <w:pPr>
      <w:jc w:val="center"/>
    </w:pPr>
    <w:rPr>
      <w:b/>
      <w:bCs/>
      <w:i/>
      <w:iCs/>
    </w:rPr>
  </w:style>
  <w:style w:type="paragraph" w:customStyle="1" w:styleId="ad">
    <w:name w:val="Содержимое врезки"/>
    <w:basedOn w:val="a5"/>
    <w:rsid w:val="009D144F"/>
  </w:style>
  <w:style w:type="paragraph" w:styleId="21">
    <w:name w:val="Body Text Indent 2"/>
    <w:basedOn w:val="a0"/>
    <w:rsid w:val="002E2C7B"/>
    <w:pPr>
      <w:spacing w:after="120" w:line="480" w:lineRule="auto"/>
      <w:ind w:left="283"/>
    </w:pPr>
  </w:style>
  <w:style w:type="paragraph" w:styleId="ae">
    <w:name w:val="Balloon Text"/>
    <w:basedOn w:val="a0"/>
    <w:semiHidden/>
    <w:rsid w:val="00FF5C07"/>
    <w:rPr>
      <w:rFonts w:ascii="Tahoma" w:hAnsi="Tahoma" w:cs="Tahoma"/>
      <w:sz w:val="16"/>
      <w:szCs w:val="16"/>
    </w:rPr>
  </w:style>
  <w:style w:type="paragraph" w:styleId="a">
    <w:name w:val="List Bullet"/>
    <w:basedOn w:val="a0"/>
    <w:rsid w:val="00196941"/>
    <w:pPr>
      <w:numPr>
        <w:numId w:val="13"/>
      </w:numPr>
    </w:pPr>
  </w:style>
  <w:style w:type="paragraph" w:styleId="af">
    <w:name w:val="Body Text First Indent"/>
    <w:basedOn w:val="a5"/>
    <w:rsid w:val="00196941"/>
    <w:pPr>
      <w:ind w:firstLine="210"/>
    </w:pPr>
  </w:style>
  <w:style w:type="paragraph" w:styleId="2">
    <w:name w:val="List Bullet 2"/>
    <w:basedOn w:val="a0"/>
    <w:rsid w:val="00E64165"/>
    <w:pPr>
      <w:numPr>
        <w:numId w:val="19"/>
      </w:numPr>
    </w:pPr>
  </w:style>
  <w:style w:type="character" w:customStyle="1" w:styleId="aa">
    <w:name w:val="Верхний колонтитул Знак"/>
    <w:link w:val="a9"/>
    <w:rsid w:val="00BA4487"/>
    <w:rPr>
      <w:sz w:val="24"/>
      <w:lang w:val="uk-UA" w:eastAsia="ar-SA" w:bidi="ar-SA"/>
    </w:rPr>
  </w:style>
  <w:style w:type="paragraph" w:styleId="af0">
    <w:name w:val="footer"/>
    <w:basedOn w:val="a0"/>
    <w:link w:val="af1"/>
    <w:uiPriority w:val="99"/>
    <w:rsid w:val="00F85A8A"/>
    <w:pPr>
      <w:tabs>
        <w:tab w:val="center" w:pos="4677"/>
        <w:tab w:val="right" w:pos="9355"/>
      </w:tabs>
    </w:pPr>
  </w:style>
  <w:style w:type="character" w:customStyle="1" w:styleId="22">
    <w:name w:val="Знак Знак2"/>
    <w:locked/>
    <w:rsid w:val="002903B0"/>
    <w:rPr>
      <w:sz w:val="28"/>
      <w:lang w:val="uk-UA" w:eastAsia="ru-RU" w:bidi="ar-SA"/>
    </w:rPr>
  </w:style>
  <w:style w:type="paragraph" w:customStyle="1" w:styleId="af2">
    <w:name w:val="Знак Знак Знак Знак"/>
    <w:basedOn w:val="a0"/>
    <w:rsid w:val="00B67284"/>
    <w:pPr>
      <w:suppressAutoHyphens w:val="0"/>
    </w:pPr>
    <w:rPr>
      <w:rFonts w:ascii="Verdana" w:hAnsi="Verdana" w:cs="Verdana"/>
      <w:sz w:val="20"/>
      <w:lang w:val="en-US" w:eastAsia="en-US"/>
    </w:rPr>
  </w:style>
  <w:style w:type="paragraph" w:customStyle="1" w:styleId="Default">
    <w:name w:val="Default"/>
    <w:rsid w:val="00AE3D1D"/>
    <w:pPr>
      <w:autoSpaceDE w:val="0"/>
      <w:autoSpaceDN w:val="0"/>
      <w:adjustRightInd w:val="0"/>
    </w:pPr>
    <w:rPr>
      <w:color w:val="000000"/>
      <w:sz w:val="24"/>
      <w:szCs w:val="24"/>
    </w:rPr>
  </w:style>
  <w:style w:type="character" w:customStyle="1" w:styleId="submenu-table">
    <w:name w:val="submenu-table"/>
    <w:basedOn w:val="a1"/>
    <w:rsid w:val="005C1CDE"/>
  </w:style>
  <w:style w:type="paragraph" w:customStyle="1" w:styleId="WW-31">
    <w:name w:val="WW-Основной текст с отступом 31"/>
    <w:basedOn w:val="a0"/>
    <w:rsid w:val="00C3668F"/>
    <w:pPr>
      <w:ind w:firstLine="567"/>
    </w:pPr>
    <w:rPr>
      <w:rFonts w:ascii="Arial" w:hAnsi="Arial"/>
    </w:rPr>
  </w:style>
  <w:style w:type="character" w:customStyle="1" w:styleId="HeaderChar">
    <w:name w:val="Header Char"/>
    <w:locked/>
    <w:rsid w:val="0047409C"/>
    <w:rPr>
      <w:rFonts w:ascii="Times New Roman" w:hAnsi="Times New Roman" w:cs="Times New Roman"/>
      <w:sz w:val="20"/>
      <w:szCs w:val="20"/>
      <w:lang w:val="uk-UA" w:eastAsia="ru-RU"/>
    </w:rPr>
  </w:style>
  <w:style w:type="paragraph" w:styleId="af3">
    <w:name w:val="List Paragraph"/>
    <w:basedOn w:val="a0"/>
    <w:uiPriority w:val="34"/>
    <w:qFormat/>
    <w:rsid w:val="00316496"/>
    <w:pPr>
      <w:ind w:left="720"/>
      <w:contextualSpacing/>
    </w:pPr>
  </w:style>
  <w:style w:type="character" w:styleId="af4">
    <w:name w:val="Hyperlink"/>
    <w:basedOn w:val="a1"/>
    <w:uiPriority w:val="99"/>
    <w:rsid w:val="00697787"/>
    <w:rPr>
      <w:color w:val="0000FF"/>
      <w:u w:val="single"/>
    </w:rPr>
  </w:style>
  <w:style w:type="character" w:customStyle="1" w:styleId="apple-converted-space">
    <w:name w:val="apple-converted-space"/>
    <w:basedOn w:val="a1"/>
    <w:rsid w:val="001316D2"/>
  </w:style>
  <w:style w:type="character" w:customStyle="1" w:styleId="rvts23">
    <w:name w:val="rvts23"/>
    <w:basedOn w:val="a1"/>
    <w:rsid w:val="001316D2"/>
  </w:style>
  <w:style w:type="character" w:customStyle="1" w:styleId="rvts9">
    <w:name w:val="rvts9"/>
    <w:basedOn w:val="a1"/>
    <w:rsid w:val="001316D2"/>
  </w:style>
  <w:style w:type="table" w:styleId="af5">
    <w:name w:val="Table Grid"/>
    <w:basedOn w:val="a2"/>
    <w:rsid w:val="00F70570"/>
    <w:rPr>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Нижний колонтитул Знак"/>
    <w:basedOn w:val="a1"/>
    <w:link w:val="af0"/>
    <w:uiPriority w:val="99"/>
    <w:rsid w:val="00C20E49"/>
    <w:rPr>
      <w:sz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hgalteria.com.ua/Dopinform/nak73_zm627.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FC08-16A3-479A-8618-F6C43EC9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2675</Words>
  <Characters>15250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Діяльність здійснюється на основі ліцензії №000036 серії АБ</vt:lpstr>
    </vt:vector>
  </TitlesOfParts>
  <Company>Audit Service</Company>
  <LinksUpToDate>false</LinksUpToDate>
  <CharactersWithSpaces>17890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Діяльність здійснюється на основі ліцензії №000036 серії АБ</dc:title>
  <dc:creator>Audit Service Inc</dc:creator>
  <cp:lastModifiedBy>Ольга</cp:lastModifiedBy>
  <cp:revision>2</cp:revision>
  <cp:lastPrinted>2015-04-21T08:56:00Z</cp:lastPrinted>
  <dcterms:created xsi:type="dcterms:W3CDTF">2016-04-22T14:27:00Z</dcterms:created>
  <dcterms:modified xsi:type="dcterms:W3CDTF">2016-04-22T14:27:00Z</dcterms:modified>
</cp:coreProperties>
</file>